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jc w:val="center"/>
        <w:tblLayout w:type="fixed"/>
        <w:tblLook w:val="0000" w:firstRow="0" w:lastRow="0" w:firstColumn="0" w:lastColumn="0" w:noHBand="0" w:noVBand="0"/>
      </w:tblPr>
      <w:tblGrid>
        <w:gridCol w:w="1134"/>
        <w:gridCol w:w="1560"/>
        <w:gridCol w:w="2693"/>
        <w:gridCol w:w="3685"/>
      </w:tblGrid>
      <w:tr w:rsidR="00945281" w14:paraId="45680BFB" w14:textId="77777777" w:rsidTr="00D77CBB">
        <w:trPr>
          <w:trHeight w:hRule="exact" w:val="992"/>
          <w:jc w:val="center"/>
        </w:trPr>
        <w:tc>
          <w:tcPr>
            <w:tcW w:w="1134" w:type="dxa"/>
            <w:tcBorders>
              <w:bottom w:val="single" w:sz="6" w:space="0" w:color="auto"/>
            </w:tcBorders>
            <w:vAlign w:val="center"/>
          </w:tcPr>
          <w:p w14:paraId="766B4D8D" w14:textId="77777777" w:rsidR="00945281" w:rsidRDefault="00945281"/>
        </w:tc>
        <w:tc>
          <w:tcPr>
            <w:tcW w:w="1560" w:type="dxa"/>
            <w:tcBorders>
              <w:bottom w:val="single" w:sz="6" w:space="0" w:color="auto"/>
            </w:tcBorders>
            <w:vAlign w:val="center"/>
          </w:tcPr>
          <w:p w14:paraId="0D8B242B" w14:textId="77777777" w:rsidR="00945281" w:rsidRDefault="00945281" w:rsidP="2A9278A2">
            <w:pPr>
              <w:rPr>
                <w:b/>
                <w:bCs/>
                <w:sz w:val="28"/>
                <w:szCs w:val="28"/>
              </w:rPr>
            </w:pPr>
            <w:bookmarkStart w:id="0" w:name="_Ref198554638"/>
            <w:bookmarkStart w:id="1" w:name="_Toc498344625"/>
            <w:bookmarkStart w:id="2" w:name="_Toc498344735"/>
            <w:bookmarkEnd w:id="0"/>
            <w:r w:rsidRPr="1927D599">
              <w:rPr>
                <w:b/>
                <w:bCs/>
                <w:sz w:val="28"/>
                <w:szCs w:val="28"/>
              </w:rPr>
              <w:t>UNITED</w:t>
            </w:r>
            <w:bookmarkEnd w:id="1"/>
            <w:bookmarkEnd w:id="2"/>
          </w:p>
          <w:p w14:paraId="2DF74889" w14:textId="77777777" w:rsidR="00945281" w:rsidRDefault="00945281">
            <w:bookmarkStart w:id="3" w:name="_Toc498344626"/>
            <w:bookmarkStart w:id="4" w:name="_Toc498344736"/>
            <w:r w:rsidRPr="1927D599">
              <w:rPr>
                <w:b/>
                <w:bCs/>
                <w:sz w:val="28"/>
                <w:szCs w:val="28"/>
              </w:rPr>
              <w:t>NATIONS</w:t>
            </w:r>
            <w:bookmarkEnd w:id="3"/>
            <w:bookmarkEnd w:id="4"/>
          </w:p>
        </w:tc>
        <w:tc>
          <w:tcPr>
            <w:tcW w:w="6378" w:type="dxa"/>
            <w:gridSpan w:val="2"/>
            <w:tcBorders>
              <w:bottom w:val="single" w:sz="6" w:space="0" w:color="auto"/>
            </w:tcBorders>
            <w:vAlign w:val="center"/>
          </w:tcPr>
          <w:p w14:paraId="02A66B1E" w14:textId="068E80CC" w:rsidR="00945281" w:rsidRDefault="00945281" w:rsidP="2A9278A2">
            <w:pPr>
              <w:rPr>
                <w:b/>
                <w:bCs/>
                <w:color w:val="C0C0C0"/>
                <w:sz w:val="66"/>
                <w:szCs w:val="66"/>
              </w:rPr>
            </w:pPr>
          </w:p>
        </w:tc>
      </w:tr>
      <w:tr w:rsidR="00945281" w14:paraId="66E47C2C" w14:textId="77777777" w:rsidTr="00D77CBB">
        <w:trPr>
          <w:trHeight w:val="103"/>
          <w:jc w:val="center"/>
        </w:trPr>
        <w:tc>
          <w:tcPr>
            <w:tcW w:w="1134" w:type="dxa"/>
          </w:tcPr>
          <w:p w14:paraId="43A06ADC" w14:textId="77777777" w:rsidR="00945281" w:rsidRDefault="00945281">
            <w:pPr>
              <w:rPr>
                <w:sz w:val="16"/>
              </w:rPr>
            </w:pPr>
          </w:p>
        </w:tc>
        <w:tc>
          <w:tcPr>
            <w:tcW w:w="7938" w:type="dxa"/>
            <w:gridSpan w:val="3"/>
          </w:tcPr>
          <w:p w14:paraId="7C30601F" w14:textId="77777777" w:rsidR="00945281" w:rsidRDefault="00945281">
            <w:pPr>
              <w:rPr>
                <w:sz w:val="16"/>
              </w:rPr>
            </w:pPr>
          </w:p>
        </w:tc>
      </w:tr>
      <w:tr w:rsidR="00945281" w14:paraId="53E95724" w14:textId="77777777" w:rsidTr="00D77CBB">
        <w:tblPrEx>
          <w:tblCellMar>
            <w:left w:w="85" w:type="dxa"/>
            <w:right w:w="85" w:type="dxa"/>
          </w:tblCellMar>
        </w:tblPrEx>
        <w:trPr>
          <w:trHeight w:val="746"/>
          <w:jc w:val="center"/>
        </w:trPr>
        <w:tc>
          <w:tcPr>
            <w:tcW w:w="5387" w:type="dxa"/>
            <w:gridSpan w:val="3"/>
            <w:vMerge w:val="restart"/>
          </w:tcPr>
          <w:p w14:paraId="667C8803" w14:textId="77777777" w:rsidR="00945281" w:rsidRPr="00D77CBB" w:rsidRDefault="00945281">
            <w:pPr>
              <w:rPr>
                <w:highlight w:val="yellow"/>
              </w:rPr>
            </w:pPr>
          </w:p>
        </w:tc>
        <w:tc>
          <w:tcPr>
            <w:tcW w:w="3685" w:type="dxa"/>
            <w:vMerge w:val="restart"/>
          </w:tcPr>
          <w:p w14:paraId="527AC7BC" w14:textId="77777777" w:rsidR="00945281" w:rsidRPr="00D77CBB" w:rsidRDefault="2A9278A2" w:rsidP="2A9278A2">
            <w:r w:rsidRPr="00D77CBB">
              <w:t>Distr.</w:t>
            </w:r>
          </w:p>
          <w:p w14:paraId="4B4D5FAC" w14:textId="77777777" w:rsidR="00945281" w:rsidRPr="00D77CBB" w:rsidRDefault="2A9278A2" w:rsidP="2A9278A2">
            <w:r w:rsidRPr="00D77CBB">
              <w:t>GENERAL</w:t>
            </w:r>
          </w:p>
          <w:p w14:paraId="725C244B" w14:textId="77777777" w:rsidR="00945281" w:rsidRPr="00D77CBB" w:rsidRDefault="00945281"/>
        </w:tc>
      </w:tr>
      <w:tr w:rsidR="00945281" w14:paraId="3014E426" w14:textId="77777777" w:rsidTr="00D77CBB">
        <w:tblPrEx>
          <w:tblCellMar>
            <w:left w:w="85" w:type="dxa"/>
            <w:right w:w="85" w:type="dxa"/>
          </w:tblCellMar>
        </w:tblPrEx>
        <w:trPr>
          <w:trHeight w:val="746"/>
          <w:jc w:val="center"/>
        </w:trPr>
        <w:tc>
          <w:tcPr>
            <w:tcW w:w="5387" w:type="dxa"/>
            <w:gridSpan w:val="3"/>
            <w:vMerge/>
          </w:tcPr>
          <w:p w14:paraId="39C0F0B2" w14:textId="77777777" w:rsidR="00945281" w:rsidRPr="00D77CBB" w:rsidRDefault="00945281">
            <w:pPr>
              <w:rPr>
                <w:highlight w:val="yellow"/>
              </w:rPr>
            </w:pPr>
          </w:p>
        </w:tc>
        <w:tc>
          <w:tcPr>
            <w:tcW w:w="3685" w:type="dxa"/>
            <w:vMerge/>
          </w:tcPr>
          <w:p w14:paraId="39DEB6BB" w14:textId="77777777" w:rsidR="00945281" w:rsidRPr="00D77CBB" w:rsidRDefault="00945281"/>
        </w:tc>
      </w:tr>
      <w:tr w:rsidR="00945281" w14:paraId="3717BB1F" w14:textId="77777777" w:rsidTr="00D77CBB">
        <w:tblPrEx>
          <w:tblCellMar>
            <w:left w:w="85" w:type="dxa"/>
            <w:right w:w="85" w:type="dxa"/>
          </w:tblCellMar>
        </w:tblPrEx>
        <w:trPr>
          <w:trHeight w:val="180"/>
          <w:jc w:val="center"/>
        </w:trPr>
        <w:tc>
          <w:tcPr>
            <w:tcW w:w="5387" w:type="dxa"/>
            <w:gridSpan w:val="3"/>
            <w:vMerge/>
          </w:tcPr>
          <w:p w14:paraId="2C8152D5" w14:textId="77777777" w:rsidR="00945281" w:rsidRPr="00D77CBB" w:rsidRDefault="00945281">
            <w:pPr>
              <w:rPr>
                <w:highlight w:val="yellow"/>
              </w:rPr>
            </w:pPr>
          </w:p>
        </w:tc>
        <w:tc>
          <w:tcPr>
            <w:tcW w:w="3685" w:type="dxa"/>
          </w:tcPr>
          <w:p w14:paraId="785384BA" w14:textId="4F9001CA" w:rsidR="00945281" w:rsidRPr="00D77CBB" w:rsidRDefault="00945281" w:rsidP="2A9278A2">
            <w:r w:rsidRPr="00D77CBB">
              <w:t>CEIP/S3.RR/2021/</w:t>
            </w:r>
            <w:r w:rsidR="00167FB9" w:rsidRPr="00D77CBB">
              <w:t>Montenegro</w:t>
            </w:r>
          </w:p>
        </w:tc>
      </w:tr>
      <w:tr w:rsidR="00945281" w14:paraId="7AC2CF89" w14:textId="77777777" w:rsidTr="00D77CBB">
        <w:tblPrEx>
          <w:tblCellMar>
            <w:left w:w="85" w:type="dxa"/>
            <w:right w:w="85" w:type="dxa"/>
          </w:tblCellMar>
        </w:tblPrEx>
        <w:trPr>
          <w:trHeight w:val="180"/>
          <w:jc w:val="center"/>
        </w:trPr>
        <w:tc>
          <w:tcPr>
            <w:tcW w:w="5387" w:type="dxa"/>
            <w:gridSpan w:val="3"/>
            <w:vMerge/>
          </w:tcPr>
          <w:p w14:paraId="24726F4D" w14:textId="77777777" w:rsidR="00945281" w:rsidRPr="00D77CBB" w:rsidRDefault="00945281">
            <w:pPr>
              <w:rPr>
                <w:i/>
                <w:highlight w:val="yellow"/>
              </w:rPr>
            </w:pPr>
          </w:p>
        </w:tc>
        <w:tc>
          <w:tcPr>
            <w:tcW w:w="3685" w:type="dxa"/>
          </w:tcPr>
          <w:p w14:paraId="5524AB0C" w14:textId="7B765B03" w:rsidR="00945281" w:rsidRPr="00D77CBB" w:rsidRDefault="00D77CBB" w:rsidP="2A9278A2">
            <w:r w:rsidRPr="00D77CBB">
              <w:t>16/09</w:t>
            </w:r>
            <w:r w:rsidR="2A9278A2" w:rsidRPr="00D77CBB">
              <w:t>/2021</w:t>
            </w:r>
          </w:p>
        </w:tc>
      </w:tr>
      <w:tr w:rsidR="00945281" w14:paraId="1A372995" w14:textId="77777777" w:rsidTr="00D77CBB">
        <w:tblPrEx>
          <w:tblCellMar>
            <w:left w:w="85" w:type="dxa"/>
            <w:right w:w="85" w:type="dxa"/>
          </w:tblCellMar>
        </w:tblPrEx>
        <w:trPr>
          <w:trHeight w:val="180"/>
          <w:jc w:val="center"/>
        </w:trPr>
        <w:tc>
          <w:tcPr>
            <w:tcW w:w="5387" w:type="dxa"/>
            <w:gridSpan w:val="3"/>
          </w:tcPr>
          <w:p w14:paraId="1EA0B55B" w14:textId="77777777" w:rsidR="00945281" w:rsidRDefault="00945281"/>
        </w:tc>
        <w:tc>
          <w:tcPr>
            <w:tcW w:w="3685" w:type="dxa"/>
          </w:tcPr>
          <w:p w14:paraId="165A1DD5" w14:textId="77777777" w:rsidR="00945281" w:rsidRDefault="00945281"/>
        </w:tc>
      </w:tr>
      <w:tr w:rsidR="00945281" w14:paraId="59C04F8A" w14:textId="77777777" w:rsidTr="00D77CBB">
        <w:tblPrEx>
          <w:tblCellMar>
            <w:left w:w="85" w:type="dxa"/>
            <w:right w:w="85" w:type="dxa"/>
          </w:tblCellMar>
        </w:tblPrEx>
        <w:trPr>
          <w:trHeight w:val="180"/>
          <w:jc w:val="center"/>
        </w:trPr>
        <w:tc>
          <w:tcPr>
            <w:tcW w:w="5387" w:type="dxa"/>
            <w:gridSpan w:val="3"/>
          </w:tcPr>
          <w:p w14:paraId="5142EB41" w14:textId="77777777" w:rsidR="00945281" w:rsidRDefault="00945281"/>
        </w:tc>
        <w:tc>
          <w:tcPr>
            <w:tcW w:w="3685" w:type="dxa"/>
          </w:tcPr>
          <w:p w14:paraId="0F480A50" w14:textId="77777777" w:rsidR="00945281" w:rsidRDefault="2A9278A2">
            <w:r w:rsidRPr="2A9278A2">
              <w:rPr>
                <w:caps/>
              </w:rPr>
              <w:t>English ONLY</w:t>
            </w:r>
          </w:p>
        </w:tc>
      </w:tr>
    </w:tbl>
    <w:p w14:paraId="41B84EFA" w14:textId="77777777" w:rsidR="00945281" w:rsidRDefault="00945281">
      <w:pPr>
        <w:rPr>
          <w:b/>
          <w:sz w:val="32"/>
          <w:szCs w:val="32"/>
        </w:rPr>
      </w:pPr>
    </w:p>
    <w:p w14:paraId="56BAB199" w14:textId="77777777" w:rsidR="00945281" w:rsidRDefault="00945281">
      <w:pPr>
        <w:rPr>
          <w:b/>
          <w:sz w:val="32"/>
          <w:szCs w:val="32"/>
        </w:rPr>
      </w:pPr>
    </w:p>
    <w:p w14:paraId="533C202F" w14:textId="77777777" w:rsidR="00945281" w:rsidRPr="00167FB9" w:rsidRDefault="2A9278A2" w:rsidP="2A9278A2">
      <w:pPr>
        <w:rPr>
          <w:b/>
          <w:bCs/>
          <w:sz w:val="32"/>
          <w:szCs w:val="32"/>
        </w:rPr>
      </w:pPr>
      <w:r w:rsidRPr="00167FB9">
        <w:rPr>
          <w:b/>
          <w:bCs/>
          <w:sz w:val="32"/>
          <w:szCs w:val="32"/>
        </w:rPr>
        <w:t>Report for the Stage 3 in-depth review of emission inventories submitted under the UNECE LRTAP Convention and EU National Emissions Ceilings Directive for:</w:t>
      </w:r>
    </w:p>
    <w:p w14:paraId="44AB909A" w14:textId="77777777" w:rsidR="00945281" w:rsidRPr="00167FB9" w:rsidRDefault="00945281">
      <w:pPr>
        <w:rPr>
          <w:b/>
          <w:sz w:val="32"/>
          <w:szCs w:val="32"/>
        </w:rPr>
      </w:pPr>
    </w:p>
    <w:p w14:paraId="511F318B" w14:textId="69D4FF8A" w:rsidR="00DF0315" w:rsidRPr="00DF0315" w:rsidRDefault="2A9278A2" w:rsidP="2A9278A2">
      <w:pPr>
        <w:jc w:val="center"/>
        <w:rPr>
          <w:b/>
          <w:bCs/>
          <w:sz w:val="32"/>
          <w:szCs w:val="32"/>
        </w:rPr>
      </w:pPr>
      <w:r w:rsidRPr="00167FB9">
        <w:rPr>
          <w:b/>
          <w:bCs/>
          <w:sz w:val="32"/>
          <w:szCs w:val="32"/>
        </w:rPr>
        <w:t>MONTENEGRO</w:t>
      </w:r>
    </w:p>
    <w:p w14:paraId="34BC83CE" w14:textId="77777777" w:rsidR="00DF0315" w:rsidRPr="00DF0315" w:rsidRDefault="00DF0315" w:rsidP="00DF0315"/>
    <w:p w14:paraId="78BEB8A9" w14:textId="77777777" w:rsidR="00167FB9" w:rsidRDefault="00167FB9" w:rsidP="2A9278A2">
      <w:pPr>
        <w:pStyle w:val="Verzeichnis1"/>
        <w:tabs>
          <w:tab w:val="right" w:leader="dot" w:pos="8302"/>
        </w:tabs>
        <w:jc w:val="center"/>
        <w:rPr>
          <w:rFonts w:cs="Arial"/>
          <w:b w:val="0"/>
          <w:bCs w:val="0"/>
          <w:sz w:val="32"/>
          <w:szCs w:val="32"/>
        </w:rPr>
        <w:sectPr w:rsidR="00167FB9" w:rsidSect="005905B3">
          <w:footerReference w:type="default" r:id="rId11"/>
          <w:pgSz w:w="11906" w:h="16838" w:code="9"/>
          <w:pgMar w:top="1440" w:right="1797" w:bottom="1440" w:left="1797" w:header="709" w:footer="32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9097F28" w14:textId="77777777" w:rsidR="0027042D" w:rsidRDefault="00827B72" w:rsidP="2A9278A2">
      <w:pPr>
        <w:pStyle w:val="Verzeichnis1"/>
        <w:tabs>
          <w:tab w:val="right" w:leader="dot" w:pos="8302"/>
        </w:tabs>
        <w:jc w:val="center"/>
        <w:rPr>
          <w:noProof/>
        </w:rPr>
      </w:pPr>
      <w:r>
        <w:rPr>
          <w:rFonts w:cs="Arial"/>
          <w:b w:val="0"/>
          <w:bCs w:val="0"/>
          <w:sz w:val="32"/>
          <w:szCs w:val="32"/>
        </w:rPr>
        <w:lastRenderedPageBreak/>
        <w:t>C</w:t>
      </w:r>
      <w:bookmarkStart w:id="5" w:name="_GoBack"/>
      <w:bookmarkEnd w:id="5"/>
      <w:r>
        <w:rPr>
          <w:rFonts w:cs="Arial"/>
          <w:b w:val="0"/>
          <w:bCs w:val="0"/>
          <w:sz w:val="32"/>
          <w:szCs w:val="32"/>
        </w:rPr>
        <w:t>ONTENT</w:t>
      </w:r>
      <w:r w:rsidR="005905B3" w:rsidRPr="1927D599">
        <w:fldChar w:fldCharType="begin"/>
      </w:r>
      <w:r w:rsidR="00945281">
        <w:rPr>
          <w:rFonts w:cs="Arial"/>
          <w:b w:val="0"/>
          <w:sz w:val="32"/>
          <w:szCs w:val="32"/>
        </w:rPr>
        <w:instrText xml:space="preserve"> TOC \o "1-3" \h \z </w:instrText>
      </w:r>
      <w:r w:rsidR="005905B3" w:rsidRPr="1927D599">
        <w:rPr>
          <w:rFonts w:cs="Arial"/>
          <w:b w:val="0"/>
          <w:sz w:val="32"/>
          <w:szCs w:val="32"/>
        </w:rPr>
        <w:fldChar w:fldCharType="separate"/>
      </w:r>
    </w:p>
    <w:p w14:paraId="1C5FE44B" w14:textId="08BB27F3" w:rsidR="0027042D" w:rsidRDefault="00D77CBB">
      <w:pPr>
        <w:pStyle w:val="Verzeichnis1"/>
        <w:tabs>
          <w:tab w:val="right" w:leader="dot" w:pos="8302"/>
        </w:tabs>
        <w:rPr>
          <w:rFonts w:asciiTheme="minorHAnsi" w:eastAsiaTheme="minorEastAsia" w:hAnsiTheme="minorHAnsi" w:cstheme="minorBidi"/>
          <w:b w:val="0"/>
          <w:bCs w:val="0"/>
          <w:caps w:val="0"/>
          <w:noProof/>
          <w:szCs w:val="22"/>
          <w:lang w:val="de-AT" w:eastAsia="de-AT"/>
        </w:rPr>
      </w:pPr>
      <w:hyperlink w:anchor="_Toc79490414" w:history="1">
        <w:r w:rsidR="0027042D" w:rsidRPr="00BD2FFB">
          <w:rPr>
            <w:rStyle w:val="Hyperlink"/>
            <w:noProof/>
          </w:rPr>
          <w:t>Introduction</w:t>
        </w:r>
        <w:r w:rsidR="0027042D">
          <w:rPr>
            <w:noProof/>
            <w:webHidden/>
          </w:rPr>
          <w:tab/>
        </w:r>
        <w:r w:rsidR="0027042D">
          <w:rPr>
            <w:noProof/>
            <w:webHidden/>
          </w:rPr>
          <w:fldChar w:fldCharType="begin"/>
        </w:r>
        <w:r w:rsidR="0027042D">
          <w:rPr>
            <w:noProof/>
            <w:webHidden/>
          </w:rPr>
          <w:instrText xml:space="preserve"> PAGEREF _Toc79490414 \h </w:instrText>
        </w:r>
        <w:r w:rsidR="0027042D">
          <w:rPr>
            <w:noProof/>
            <w:webHidden/>
          </w:rPr>
        </w:r>
        <w:r w:rsidR="0027042D">
          <w:rPr>
            <w:noProof/>
            <w:webHidden/>
          </w:rPr>
          <w:fldChar w:fldCharType="separate"/>
        </w:r>
        <w:r w:rsidR="00AB3DE4">
          <w:rPr>
            <w:noProof/>
            <w:webHidden/>
          </w:rPr>
          <w:t>3</w:t>
        </w:r>
        <w:r w:rsidR="0027042D">
          <w:rPr>
            <w:noProof/>
            <w:webHidden/>
          </w:rPr>
          <w:fldChar w:fldCharType="end"/>
        </w:r>
      </w:hyperlink>
    </w:p>
    <w:p w14:paraId="25C5E505" w14:textId="33947A02" w:rsidR="0027042D" w:rsidRDefault="00D77CBB">
      <w:pPr>
        <w:pStyle w:val="Verzeichnis1"/>
        <w:tabs>
          <w:tab w:val="right" w:leader="dot" w:pos="8302"/>
        </w:tabs>
        <w:rPr>
          <w:rFonts w:asciiTheme="minorHAnsi" w:eastAsiaTheme="minorEastAsia" w:hAnsiTheme="minorHAnsi" w:cstheme="minorBidi"/>
          <w:b w:val="0"/>
          <w:bCs w:val="0"/>
          <w:caps w:val="0"/>
          <w:noProof/>
          <w:szCs w:val="22"/>
          <w:lang w:val="de-AT" w:eastAsia="de-AT"/>
        </w:rPr>
      </w:pPr>
      <w:hyperlink w:anchor="_Toc79490415" w:history="1">
        <w:r w:rsidR="0027042D" w:rsidRPr="00BD2FFB">
          <w:rPr>
            <w:rStyle w:val="Hyperlink"/>
            <w:noProof/>
          </w:rPr>
          <w:t>Part A: Key Review Findings</w:t>
        </w:r>
        <w:r w:rsidR="0027042D">
          <w:rPr>
            <w:noProof/>
            <w:webHidden/>
          </w:rPr>
          <w:tab/>
        </w:r>
        <w:r w:rsidR="0027042D">
          <w:rPr>
            <w:noProof/>
            <w:webHidden/>
          </w:rPr>
          <w:fldChar w:fldCharType="begin"/>
        </w:r>
        <w:r w:rsidR="0027042D">
          <w:rPr>
            <w:noProof/>
            <w:webHidden/>
          </w:rPr>
          <w:instrText xml:space="preserve"> PAGEREF _Toc79490415 \h </w:instrText>
        </w:r>
        <w:r w:rsidR="0027042D">
          <w:rPr>
            <w:noProof/>
            <w:webHidden/>
          </w:rPr>
        </w:r>
        <w:r w:rsidR="0027042D">
          <w:rPr>
            <w:noProof/>
            <w:webHidden/>
          </w:rPr>
          <w:fldChar w:fldCharType="separate"/>
        </w:r>
        <w:r w:rsidR="00AB3DE4">
          <w:rPr>
            <w:noProof/>
            <w:webHidden/>
          </w:rPr>
          <w:t>4</w:t>
        </w:r>
        <w:r w:rsidR="0027042D">
          <w:rPr>
            <w:noProof/>
            <w:webHidden/>
          </w:rPr>
          <w:fldChar w:fldCharType="end"/>
        </w:r>
      </w:hyperlink>
    </w:p>
    <w:p w14:paraId="33EFA724" w14:textId="074717F0"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16" w:history="1">
        <w:r w:rsidR="0027042D" w:rsidRPr="00BD2FFB">
          <w:rPr>
            <w:rStyle w:val="Hyperlink"/>
            <w:noProof/>
          </w:rPr>
          <w:t>Inventory Submission</w:t>
        </w:r>
        <w:r w:rsidR="0027042D">
          <w:rPr>
            <w:noProof/>
            <w:webHidden/>
          </w:rPr>
          <w:tab/>
        </w:r>
        <w:r w:rsidR="0027042D">
          <w:rPr>
            <w:noProof/>
            <w:webHidden/>
          </w:rPr>
          <w:fldChar w:fldCharType="begin"/>
        </w:r>
        <w:r w:rsidR="0027042D">
          <w:rPr>
            <w:noProof/>
            <w:webHidden/>
          </w:rPr>
          <w:instrText xml:space="preserve"> PAGEREF _Toc79490416 \h </w:instrText>
        </w:r>
        <w:r w:rsidR="0027042D">
          <w:rPr>
            <w:noProof/>
            <w:webHidden/>
          </w:rPr>
        </w:r>
        <w:r w:rsidR="0027042D">
          <w:rPr>
            <w:noProof/>
            <w:webHidden/>
          </w:rPr>
          <w:fldChar w:fldCharType="separate"/>
        </w:r>
        <w:r w:rsidR="00AB3DE4">
          <w:rPr>
            <w:noProof/>
            <w:webHidden/>
          </w:rPr>
          <w:t>4</w:t>
        </w:r>
        <w:r w:rsidR="0027042D">
          <w:rPr>
            <w:noProof/>
            <w:webHidden/>
          </w:rPr>
          <w:fldChar w:fldCharType="end"/>
        </w:r>
      </w:hyperlink>
    </w:p>
    <w:p w14:paraId="0BEBDE02" w14:textId="0EFEF1E7"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17" w:history="1">
        <w:r w:rsidR="0027042D" w:rsidRPr="00BD2FFB">
          <w:rPr>
            <w:rStyle w:val="Hyperlink"/>
            <w:noProof/>
          </w:rPr>
          <w:t>Key categories</w:t>
        </w:r>
        <w:r w:rsidR="0027042D">
          <w:rPr>
            <w:noProof/>
            <w:webHidden/>
          </w:rPr>
          <w:tab/>
        </w:r>
        <w:r w:rsidR="0027042D">
          <w:rPr>
            <w:noProof/>
            <w:webHidden/>
          </w:rPr>
          <w:fldChar w:fldCharType="begin"/>
        </w:r>
        <w:r w:rsidR="0027042D">
          <w:rPr>
            <w:noProof/>
            <w:webHidden/>
          </w:rPr>
          <w:instrText xml:space="preserve"> PAGEREF _Toc79490417 \h </w:instrText>
        </w:r>
        <w:r w:rsidR="0027042D">
          <w:rPr>
            <w:noProof/>
            <w:webHidden/>
          </w:rPr>
        </w:r>
        <w:r w:rsidR="0027042D">
          <w:rPr>
            <w:noProof/>
            <w:webHidden/>
          </w:rPr>
          <w:fldChar w:fldCharType="separate"/>
        </w:r>
        <w:r w:rsidR="00AB3DE4">
          <w:rPr>
            <w:noProof/>
            <w:webHidden/>
          </w:rPr>
          <w:t>4</w:t>
        </w:r>
        <w:r w:rsidR="0027042D">
          <w:rPr>
            <w:noProof/>
            <w:webHidden/>
          </w:rPr>
          <w:fldChar w:fldCharType="end"/>
        </w:r>
      </w:hyperlink>
    </w:p>
    <w:p w14:paraId="72B0A29A" w14:textId="4D622643"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18" w:history="1">
        <w:r w:rsidR="0027042D" w:rsidRPr="00BD2FFB">
          <w:rPr>
            <w:rStyle w:val="Hyperlink"/>
            <w:noProof/>
          </w:rPr>
          <w:t>Quality</w:t>
        </w:r>
        <w:r w:rsidR="0027042D">
          <w:rPr>
            <w:noProof/>
            <w:webHidden/>
          </w:rPr>
          <w:tab/>
        </w:r>
        <w:r w:rsidR="0027042D">
          <w:rPr>
            <w:noProof/>
            <w:webHidden/>
          </w:rPr>
          <w:fldChar w:fldCharType="begin"/>
        </w:r>
        <w:r w:rsidR="0027042D">
          <w:rPr>
            <w:noProof/>
            <w:webHidden/>
          </w:rPr>
          <w:instrText xml:space="preserve"> PAGEREF _Toc79490418 \h </w:instrText>
        </w:r>
        <w:r w:rsidR="0027042D">
          <w:rPr>
            <w:noProof/>
            <w:webHidden/>
          </w:rPr>
        </w:r>
        <w:r w:rsidR="0027042D">
          <w:rPr>
            <w:noProof/>
            <w:webHidden/>
          </w:rPr>
          <w:fldChar w:fldCharType="separate"/>
        </w:r>
        <w:r w:rsidR="00AB3DE4">
          <w:rPr>
            <w:noProof/>
            <w:webHidden/>
          </w:rPr>
          <w:t>5</w:t>
        </w:r>
        <w:r w:rsidR="0027042D">
          <w:rPr>
            <w:noProof/>
            <w:webHidden/>
          </w:rPr>
          <w:fldChar w:fldCharType="end"/>
        </w:r>
      </w:hyperlink>
    </w:p>
    <w:p w14:paraId="7D5AF0C4" w14:textId="699CA8EB" w:rsidR="0027042D" w:rsidRDefault="00D77CBB">
      <w:pPr>
        <w:pStyle w:val="Verzeichnis3"/>
        <w:tabs>
          <w:tab w:val="right" w:leader="dot" w:pos="8302"/>
        </w:tabs>
        <w:rPr>
          <w:rFonts w:asciiTheme="minorHAnsi" w:eastAsiaTheme="minorEastAsia" w:hAnsiTheme="minorHAnsi" w:cstheme="minorBidi"/>
          <w:noProof/>
          <w:szCs w:val="22"/>
          <w:lang w:val="de-AT" w:eastAsia="de-AT"/>
        </w:rPr>
      </w:pPr>
      <w:hyperlink w:anchor="_Toc79490419" w:history="1">
        <w:r w:rsidR="0027042D" w:rsidRPr="00BD2FFB">
          <w:rPr>
            <w:rStyle w:val="Hyperlink"/>
            <w:noProof/>
          </w:rPr>
          <w:t>Transparency</w:t>
        </w:r>
        <w:r w:rsidR="0027042D">
          <w:rPr>
            <w:noProof/>
            <w:webHidden/>
          </w:rPr>
          <w:tab/>
        </w:r>
        <w:r w:rsidR="0027042D">
          <w:rPr>
            <w:noProof/>
            <w:webHidden/>
          </w:rPr>
          <w:fldChar w:fldCharType="begin"/>
        </w:r>
        <w:r w:rsidR="0027042D">
          <w:rPr>
            <w:noProof/>
            <w:webHidden/>
          </w:rPr>
          <w:instrText xml:space="preserve"> PAGEREF _Toc79490419 \h </w:instrText>
        </w:r>
        <w:r w:rsidR="0027042D">
          <w:rPr>
            <w:noProof/>
            <w:webHidden/>
          </w:rPr>
        </w:r>
        <w:r w:rsidR="0027042D">
          <w:rPr>
            <w:noProof/>
            <w:webHidden/>
          </w:rPr>
          <w:fldChar w:fldCharType="separate"/>
        </w:r>
        <w:r w:rsidR="00AB3DE4">
          <w:rPr>
            <w:noProof/>
            <w:webHidden/>
          </w:rPr>
          <w:t>5</w:t>
        </w:r>
        <w:r w:rsidR="0027042D">
          <w:rPr>
            <w:noProof/>
            <w:webHidden/>
          </w:rPr>
          <w:fldChar w:fldCharType="end"/>
        </w:r>
      </w:hyperlink>
    </w:p>
    <w:p w14:paraId="24D3951A" w14:textId="0A8BF91F" w:rsidR="0027042D" w:rsidRDefault="00D77CBB">
      <w:pPr>
        <w:pStyle w:val="Verzeichnis3"/>
        <w:tabs>
          <w:tab w:val="right" w:leader="dot" w:pos="8302"/>
        </w:tabs>
        <w:rPr>
          <w:rFonts w:asciiTheme="minorHAnsi" w:eastAsiaTheme="minorEastAsia" w:hAnsiTheme="minorHAnsi" w:cstheme="minorBidi"/>
          <w:noProof/>
          <w:szCs w:val="22"/>
          <w:lang w:val="de-AT" w:eastAsia="de-AT"/>
        </w:rPr>
      </w:pPr>
      <w:hyperlink w:anchor="_Toc79490420" w:history="1">
        <w:r w:rsidR="0027042D" w:rsidRPr="00BD2FFB">
          <w:rPr>
            <w:rStyle w:val="Hyperlink"/>
            <w:noProof/>
          </w:rPr>
          <w:t>Completeness</w:t>
        </w:r>
        <w:r w:rsidR="0027042D">
          <w:rPr>
            <w:noProof/>
            <w:webHidden/>
          </w:rPr>
          <w:tab/>
        </w:r>
        <w:r w:rsidR="0027042D">
          <w:rPr>
            <w:noProof/>
            <w:webHidden/>
          </w:rPr>
          <w:fldChar w:fldCharType="begin"/>
        </w:r>
        <w:r w:rsidR="0027042D">
          <w:rPr>
            <w:noProof/>
            <w:webHidden/>
          </w:rPr>
          <w:instrText xml:space="preserve"> PAGEREF _Toc79490420 \h </w:instrText>
        </w:r>
        <w:r w:rsidR="0027042D">
          <w:rPr>
            <w:noProof/>
            <w:webHidden/>
          </w:rPr>
        </w:r>
        <w:r w:rsidR="0027042D">
          <w:rPr>
            <w:noProof/>
            <w:webHidden/>
          </w:rPr>
          <w:fldChar w:fldCharType="separate"/>
        </w:r>
        <w:r w:rsidR="00AB3DE4">
          <w:rPr>
            <w:noProof/>
            <w:webHidden/>
          </w:rPr>
          <w:t>5</w:t>
        </w:r>
        <w:r w:rsidR="0027042D">
          <w:rPr>
            <w:noProof/>
            <w:webHidden/>
          </w:rPr>
          <w:fldChar w:fldCharType="end"/>
        </w:r>
      </w:hyperlink>
    </w:p>
    <w:p w14:paraId="640BD0B3" w14:textId="677B71C3" w:rsidR="0027042D" w:rsidRDefault="00D77CBB">
      <w:pPr>
        <w:pStyle w:val="Verzeichnis3"/>
        <w:tabs>
          <w:tab w:val="right" w:leader="dot" w:pos="8302"/>
        </w:tabs>
        <w:rPr>
          <w:rFonts w:asciiTheme="minorHAnsi" w:eastAsiaTheme="minorEastAsia" w:hAnsiTheme="minorHAnsi" w:cstheme="minorBidi"/>
          <w:noProof/>
          <w:szCs w:val="22"/>
          <w:lang w:val="de-AT" w:eastAsia="de-AT"/>
        </w:rPr>
      </w:pPr>
      <w:hyperlink w:anchor="_Toc79490421" w:history="1">
        <w:r w:rsidR="0027042D" w:rsidRPr="00BD2FFB">
          <w:rPr>
            <w:rStyle w:val="Hyperlink"/>
            <w:noProof/>
          </w:rPr>
          <w:t>Consistency, including recalculations and time-series</w:t>
        </w:r>
        <w:r w:rsidR="0027042D">
          <w:rPr>
            <w:noProof/>
            <w:webHidden/>
          </w:rPr>
          <w:tab/>
        </w:r>
        <w:r w:rsidR="0027042D">
          <w:rPr>
            <w:noProof/>
            <w:webHidden/>
          </w:rPr>
          <w:fldChar w:fldCharType="begin"/>
        </w:r>
        <w:r w:rsidR="0027042D">
          <w:rPr>
            <w:noProof/>
            <w:webHidden/>
          </w:rPr>
          <w:instrText xml:space="preserve"> PAGEREF _Toc79490421 \h </w:instrText>
        </w:r>
        <w:r w:rsidR="0027042D">
          <w:rPr>
            <w:noProof/>
            <w:webHidden/>
          </w:rPr>
        </w:r>
        <w:r w:rsidR="0027042D">
          <w:rPr>
            <w:noProof/>
            <w:webHidden/>
          </w:rPr>
          <w:fldChar w:fldCharType="separate"/>
        </w:r>
        <w:r w:rsidR="00AB3DE4">
          <w:rPr>
            <w:noProof/>
            <w:webHidden/>
          </w:rPr>
          <w:t>5</w:t>
        </w:r>
        <w:r w:rsidR="0027042D">
          <w:rPr>
            <w:noProof/>
            <w:webHidden/>
          </w:rPr>
          <w:fldChar w:fldCharType="end"/>
        </w:r>
      </w:hyperlink>
    </w:p>
    <w:p w14:paraId="34523D18" w14:textId="6EFA6840" w:rsidR="0027042D" w:rsidRDefault="00D77CBB">
      <w:pPr>
        <w:pStyle w:val="Verzeichnis3"/>
        <w:tabs>
          <w:tab w:val="right" w:leader="dot" w:pos="8302"/>
        </w:tabs>
        <w:rPr>
          <w:rFonts w:asciiTheme="minorHAnsi" w:eastAsiaTheme="minorEastAsia" w:hAnsiTheme="minorHAnsi" w:cstheme="minorBidi"/>
          <w:noProof/>
          <w:szCs w:val="22"/>
          <w:lang w:val="de-AT" w:eastAsia="de-AT"/>
        </w:rPr>
      </w:pPr>
      <w:hyperlink w:anchor="_Toc79490422" w:history="1">
        <w:r w:rsidR="0027042D" w:rsidRPr="00BD2FFB">
          <w:rPr>
            <w:rStyle w:val="Hyperlink"/>
            <w:noProof/>
          </w:rPr>
          <w:t>Comparability</w:t>
        </w:r>
        <w:r w:rsidR="0027042D">
          <w:rPr>
            <w:noProof/>
            <w:webHidden/>
          </w:rPr>
          <w:tab/>
        </w:r>
        <w:r w:rsidR="0027042D">
          <w:rPr>
            <w:noProof/>
            <w:webHidden/>
          </w:rPr>
          <w:fldChar w:fldCharType="begin"/>
        </w:r>
        <w:r w:rsidR="0027042D">
          <w:rPr>
            <w:noProof/>
            <w:webHidden/>
          </w:rPr>
          <w:instrText xml:space="preserve"> PAGEREF _Toc79490422 \h </w:instrText>
        </w:r>
        <w:r w:rsidR="0027042D">
          <w:rPr>
            <w:noProof/>
            <w:webHidden/>
          </w:rPr>
        </w:r>
        <w:r w:rsidR="0027042D">
          <w:rPr>
            <w:noProof/>
            <w:webHidden/>
          </w:rPr>
          <w:fldChar w:fldCharType="separate"/>
        </w:r>
        <w:r w:rsidR="00AB3DE4">
          <w:rPr>
            <w:noProof/>
            <w:webHidden/>
          </w:rPr>
          <w:t>6</w:t>
        </w:r>
        <w:r w:rsidR="0027042D">
          <w:rPr>
            <w:noProof/>
            <w:webHidden/>
          </w:rPr>
          <w:fldChar w:fldCharType="end"/>
        </w:r>
      </w:hyperlink>
    </w:p>
    <w:p w14:paraId="51FE81EE" w14:textId="66E9EDD5" w:rsidR="0027042D" w:rsidRDefault="00D77CBB">
      <w:pPr>
        <w:pStyle w:val="Verzeichnis3"/>
        <w:tabs>
          <w:tab w:val="right" w:leader="dot" w:pos="8302"/>
        </w:tabs>
        <w:rPr>
          <w:rFonts w:asciiTheme="minorHAnsi" w:eastAsiaTheme="minorEastAsia" w:hAnsiTheme="minorHAnsi" w:cstheme="minorBidi"/>
          <w:noProof/>
          <w:szCs w:val="22"/>
          <w:lang w:val="de-AT" w:eastAsia="de-AT"/>
        </w:rPr>
      </w:pPr>
      <w:hyperlink w:anchor="_Toc79490423" w:history="1">
        <w:r w:rsidR="0027042D" w:rsidRPr="00BD2FFB">
          <w:rPr>
            <w:rStyle w:val="Hyperlink"/>
            <w:noProof/>
          </w:rPr>
          <w:t>Accuracy and uncertainties</w:t>
        </w:r>
        <w:r w:rsidR="0027042D">
          <w:rPr>
            <w:noProof/>
            <w:webHidden/>
          </w:rPr>
          <w:tab/>
        </w:r>
        <w:r w:rsidR="0027042D">
          <w:rPr>
            <w:noProof/>
            <w:webHidden/>
          </w:rPr>
          <w:fldChar w:fldCharType="begin"/>
        </w:r>
        <w:r w:rsidR="0027042D">
          <w:rPr>
            <w:noProof/>
            <w:webHidden/>
          </w:rPr>
          <w:instrText xml:space="preserve"> PAGEREF _Toc79490423 \h </w:instrText>
        </w:r>
        <w:r w:rsidR="0027042D">
          <w:rPr>
            <w:noProof/>
            <w:webHidden/>
          </w:rPr>
        </w:r>
        <w:r w:rsidR="0027042D">
          <w:rPr>
            <w:noProof/>
            <w:webHidden/>
          </w:rPr>
          <w:fldChar w:fldCharType="separate"/>
        </w:r>
        <w:r w:rsidR="00AB3DE4">
          <w:rPr>
            <w:noProof/>
            <w:webHidden/>
          </w:rPr>
          <w:t>6</w:t>
        </w:r>
        <w:r w:rsidR="0027042D">
          <w:rPr>
            <w:noProof/>
            <w:webHidden/>
          </w:rPr>
          <w:fldChar w:fldCharType="end"/>
        </w:r>
      </w:hyperlink>
    </w:p>
    <w:p w14:paraId="2BCB7ADA" w14:textId="77F810F2" w:rsidR="0027042D" w:rsidRDefault="00D77CBB">
      <w:pPr>
        <w:pStyle w:val="Verzeichnis3"/>
        <w:tabs>
          <w:tab w:val="right" w:leader="dot" w:pos="8302"/>
        </w:tabs>
        <w:rPr>
          <w:rFonts w:asciiTheme="minorHAnsi" w:eastAsiaTheme="minorEastAsia" w:hAnsiTheme="minorHAnsi" w:cstheme="minorBidi"/>
          <w:noProof/>
          <w:szCs w:val="22"/>
          <w:lang w:val="de-AT" w:eastAsia="de-AT"/>
        </w:rPr>
      </w:pPr>
      <w:hyperlink w:anchor="_Toc79490424" w:history="1">
        <w:r w:rsidR="0027042D" w:rsidRPr="00BD2FFB">
          <w:rPr>
            <w:rStyle w:val="Hyperlink"/>
            <w:noProof/>
          </w:rPr>
          <w:t>Verification and quality assurance/quality control approaches</w:t>
        </w:r>
        <w:r w:rsidR="0027042D">
          <w:rPr>
            <w:noProof/>
            <w:webHidden/>
          </w:rPr>
          <w:tab/>
        </w:r>
        <w:r w:rsidR="0027042D">
          <w:rPr>
            <w:noProof/>
            <w:webHidden/>
          </w:rPr>
          <w:fldChar w:fldCharType="begin"/>
        </w:r>
        <w:r w:rsidR="0027042D">
          <w:rPr>
            <w:noProof/>
            <w:webHidden/>
          </w:rPr>
          <w:instrText xml:space="preserve"> PAGEREF _Toc79490424 \h </w:instrText>
        </w:r>
        <w:r w:rsidR="0027042D">
          <w:rPr>
            <w:noProof/>
            <w:webHidden/>
          </w:rPr>
        </w:r>
        <w:r w:rsidR="0027042D">
          <w:rPr>
            <w:noProof/>
            <w:webHidden/>
          </w:rPr>
          <w:fldChar w:fldCharType="separate"/>
        </w:r>
        <w:r w:rsidR="00AB3DE4">
          <w:rPr>
            <w:noProof/>
            <w:webHidden/>
          </w:rPr>
          <w:t>6</w:t>
        </w:r>
        <w:r w:rsidR="0027042D">
          <w:rPr>
            <w:noProof/>
            <w:webHidden/>
          </w:rPr>
          <w:fldChar w:fldCharType="end"/>
        </w:r>
      </w:hyperlink>
    </w:p>
    <w:p w14:paraId="3834CC8C" w14:textId="12E2A65E" w:rsidR="0027042D" w:rsidRDefault="00D77CBB">
      <w:pPr>
        <w:pStyle w:val="Verzeichnis3"/>
        <w:tabs>
          <w:tab w:val="right" w:leader="dot" w:pos="8302"/>
        </w:tabs>
        <w:rPr>
          <w:rFonts w:asciiTheme="minorHAnsi" w:eastAsiaTheme="minorEastAsia" w:hAnsiTheme="minorHAnsi" w:cstheme="minorBidi"/>
          <w:noProof/>
          <w:szCs w:val="22"/>
          <w:lang w:val="de-AT" w:eastAsia="de-AT"/>
        </w:rPr>
      </w:pPr>
      <w:hyperlink w:anchor="_Toc79490425" w:history="1">
        <w:r w:rsidR="0027042D" w:rsidRPr="00BD2FFB">
          <w:rPr>
            <w:rStyle w:val="Hyperlink"/>
            <w:noProof/>
          </w:rPr>
          <w:t>Reporting of Condensable</w:t>
        </w:r>
        <w:r w:rsidR="0027042D">
          <w:rPr>
            <w:noProof/>
            <w:webHidden/>
          </w:rPr>
          <w:tab/>
        </w:r>
        <w:r w:rsidR="0027042D">
          <w:rPr>
            <w:noProof/>
            <w:webHidden/>
          </w:rPr>
          <w:fldChar w:fldCharType="begin"/>
        </w:r>
        <w:r w:rsidR="0027042D">
          <w:rPr>
            <w:noProof/>
            <w:webHidden/>
          </w:rPr>
          <w:instrText xml:space="preserve"> PAGEREF _Toc79490425 \h </w:instrText>
        </w:r>
        <w:r w:rsidR="0027042D">
          <w:rPr>
            <w:noProof/>
            <w:webHidden/>
          </w:rPr>
        </w:r>
        <w:r w:rsidR="0027042D">
          <w:rPr>
            <w:noProof/>
            <w:webHidden/>
          </w:rPr>
          <w:fldChar w:fldCharType="separate"/>
        </w:r>
        <w:r w:rsidR="00AB3DE4">
          <w:rPr>
            <w:noProof/>
            <w:webHidden/>
          </w:rPr>
          <w:t>6</w:t>
        </w:r>
        <w:r w:rsidR="0027042D">
          <w:rPr>
            <w:noProof/>
            <w:webHidden/>
          </w:rPr>
          <w:fldChar w:fldCharType="end"/>
        </w:r>
      </w:hyperlink>
    </w:p>
    <w:p w14:paraId="5C97D80C" w14:textId="72ADC17A"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26" w:history="1">
        <w:r w:rsidR="0027042D" w:rsidRPr="00BD2FFB">
          <w:rPr>
            <w:rStyle w:val="Hyperlink"/>
            <w:noProof/>
          </w:rPr>
          <w:t>Follow-up to previous reviews</w:t>
        </w:r>
        <w:r w:rsidR="0027042D">
          <w:rPr>
            <w:noProof/>
            <w:webHidden/>
          </w:rPr>
          <w:tab/>
        </w:r>
        <w:r w:rsidR="0027042D">
          <w:rPr>
            <w:noProof/>
            <w:webHidden/>
          </w:rPr>
          <w:fldChar w:fldCharType="begin"/>
        </w:r>
        <w:r w:rsidR="0027042D">
          <w:rPr>
            <w:noProof/>
            <w:webHidden/>
          </w:rPr>
          <w:instrText xml:space="preserve"> PAGEREF _Toc79490426 \h </w:instrText>
        </w:r>
        <w:r w:rsidR="0027042D">
          <w:rPr>
            <w:noProof/>
            <w:webHidden/>
          </w:rPr>
        </w:r>
        <w:r w:rsidR="0027042D">
          <w:rPr>
            <w:noProof/>
            <w:webHidden/>
          </w:rPr>
          <w:fldChar w:fldCharType="separate"/>
        </w:r>
        <w:r w:rsidR="00AB3DE4">
          <w:rPr>
            <w:noProof/>
            <w:webHidden/>
          </w:rPr>
          <w:t>6</w:t>
        </w:r>
        <w:r w:rsidR="0027042D">
          <w:rPr>
            <w:noProof/>
            <w:webHidden/>
          </w:rPr>
          <w:fldChar w:fldCharType="end"/>
        </w:r>
      </w:hyperlink>
    </w:p>
    <w:p w14:paraId="48481F3F" w14:textId="66A54AA3"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27" w:history="1">
        <w:r w:rsidR="0027042D" w:rsidRPr="00BD2FFB">
          <w:rPr>
            <w:rStyle w:val="Hyperlink"/>
            <w:noProof/>
          </w:rPr>
          <w:t>Areas for improvements identified by Montenegro</w:t>
        </w:r>
        <w:r w:rsidR="0027042D">
          <w:rPr>
            <w:noProof/>
            <w:webHidden/>
          </w:rPr>
          <w:tab/>
        </w:r>
        <w:r w:rsidR="0027042D">
          <w:rPr>
            <w:noProof/>
            <w:webHidden/>
          </w:rPr>
          <w:fldChar w:fldCharType="begin"/>
        </w:r>
        <w:r w:rsidR="0027042D">
          <w:rPr>
            <w:noProof/>
            <w:webHidden/>
          </w:rPr>
          <w:instrText xml:space="preserve"> PAGEREF _Toc79490427 \h </w:instrText>
        </w:r>
        <w:r w:rsidR="0027042D">
          <w:rPr>
            <w:noProof/>
            <w:webHidden/>
          </w:rPr>
        </w:r>
        <w:r w:rsidR="0027042D">
          <w:rPr>
            <w:noProof/>
            <w:webHidden/>
          </w:rPr>
          <w:fldChar w:fldCharType="separate"/>
        </w:r>
        <w:r w:rsidR="00AB3DE4">
          <w:rPr>
            <w:noProof/>
            <w:webHidden/>
          </w:rPr>
          <w:t>6</w:t>
        </w:r>
        <w:r w:rsidR="0027042D">
          <w:rPr>
            <w:noProof/>
            <w:webHidden/>
          </w:rPr>
          <w:fldChar w:fldCharType="end"/>
        </w:r>
      </w:hyperlink>
    </w:p>
    <w:p w14:paraId="11E39A64" w14:textId="59A040D0"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28" w:history="1">
        <w:r w:rsidR="0027042D" w:rsidRPr="00BD2FFB">
          <w:rPr>
            <w:rStyle w:val="Hyperlink"/>
            <w:noProof/>
          </w:rPr>
          <w:t>Technical corrections considered and or calculated by  ERT</w:t>
        </w:r>
        <w:r w:rsidR="0027042D">
          <w:rPr>
            <w:noProof/>
            <w:webHidden/>
          </w:rPr>
          <w:tab/>
        </w:r>
        <w:r w:rsidR="0027042D">
          <w:rPr>
            <w:noProof/>
            <w:webHidden/>
          </w:rPr>
          <w:fldChar w:fldCharType="begin"/>
        </w:r>
        <w:r w:rsidR="0027042D">
          <w:rPr>
            <w:noProof/>
            <w:webHidden/>
          </w:rPr>
          <w:instrText xml:space="preserve"> PAGEREF _Toc79490428 \h </w:instrText>
        </w:r>
        <w:r w:rsidR="0027042D">
          <w:rPr>
            <w:noProof/>
            <w:webHidden/>
          </w:rPr>
        </w:r>
        <w:r w:rsidR="0027042D">
          <w:rPr>
            <w:noProof/>
            <w:webHidden/>
          </w:rPr>
          <w:fldChar w:fldCharType="separate"/>
        </w:r>
        <w:r w:rsidR="00AB3DE4">
          <w:rPr>
            <w:noProof/>
            <w:webHidden/>
          </w:rPr>
          <w:t>7</w:t>
        </w:r>
        <w:r w:rsidR="0027042D">
          <w:rPr>
            <w:noProof/>
            <w:webHidden/>
          </w:rPr>
          <w:fldChar w:fldCharType="end"/>
        </w:r>
      </w:hyperlink>
    </w:p>
    <w:p w14:paraId="63A6B462" w14:textId="70E49259" w:rsidR="0027042D" w:rsidRDefault="00D77CBB">
      <w:pPr>
        <w:pStyle w:val="Verzeichnis1"/>
        <w:tabs>
          <w:tab w:val="right" w:leader="dot" w:pos="8302"/>
        </w:tabs>
        <w:rPr>
          <w:rFonts w:asciiTheme="minorHAnsi" w:eastAsiaTheme="minorEastAsia" w:hAnsiTheme="minorHAnsi" w:cstheme="minorBidi"/>
          <w:b w:val="0"/>
          <w:bCs w:val="0"/>
          <w:caps w:val="0"/>
          <w:noProof/>
          <w:szCs w:val="22"/>
          <w:lang w:val="de-AT" w:eastAsia="de-AT"/>
        </w:rPr>
      </w:pPr>
      <w:hyperlink w:anchor="_Toc79490429" w:history="1">
        <w:r w:rsidR="0027042D" w:rsidRPr="00BD2FFB">
          <w:rPr>
            <w:rStyle w:val="Hyperlink"/>
            <w:noProof/>
          </w:rPr>
          <w:t>Part B: Recommendations for Improvements to the Party</w:t>
        </w:r>
        <w:r w:rsidR="0027042D">
          <w:rPr>
            <w:noProof/>
            <w:webHidden/>
          </w:rPr>
          <w:tab/>
        </w:r>
        <w:r w:rsidR="0027042D">
          <w:rPr>
            <w:noProof/>
            <w:webHidden/>
          </w:rPr>
          <w:fldChar w:fldCharType="begin"/>
        </w:r>
        <w:r w:rsidR="0027042D">
          <w:rPr>
            <w:noProof/>
            <w:webHidden/>
          </w:rPr>
          <w:instrText xml:space="preserve"> PAGEREF _Toc79490429 \h </w:instrText>
        </w:r>
        <w:r w:rsidR="0027042D">
          <w:rPr>
            <w:noProof/>
            <w:webHidden/>
          </w:rPr>
        </w:r>
        <w:r w:rsidR="0027042D">
          <w:rPr>
            <w:noProof/>
            <w:webHidden/>
          </w:rPr>
          <w:fldChar w:fldCharType="separate"/>
        </w:r>
        <w:r w:rsidR="00AB3DE4">
          <w:rPr>
            <w:noProof/>
            <w:webHidden/>
          </w:rPr>
          <w:t>8</w:t>
        </w:r>
        <w:r w:rsidR="0027042D">
          <w:rPr>
            <w:noProof/>
            <w:webHidden/>
          </w:rPr>
          <w:fldChar w:fldCharType="end"/>
        </w:r>
      </w:hyperlink>
    </w:p>
    <w:p w14:paraId="0D630D70" w14:textId="29226E48"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0" w:history="1">
        <w:r w:rsidR="0027042D" w:rsidRPr="00BD2FFB">
          <w:rPr>
            <w:rStyle w:val="Hyperlink"/>
            <w:noProof/>
          </w:rPr>
          <w:t>Cross cutting improvements identified by the ERT</w:t>
        </w:r>
        <w:r w:rsidR="0027042D">
          <w:rPr>
            <w:noProof/>
            <w:webHidden/>
          </w:rPr>
          <w:tab/>
        </w:r>
        <w:r w:rsidR="0027042D">
          <w:rPr>
            <w:noProof/>
            <w:webHidden/>
          </w:rPr>
          <w:fldChar w:fldCharType="begin"/>
        </w:r>
        <w:r w:rsidR="0027042D">
          <w:rPr>
            <w:noProof/>
            <w:webHidden/>
          </w:rPr>
          <w:instrText xml:space="preserve"> PAGEREF _Toc79490430 \h </w:instrText>
        </w:r>
        <w:r w:rsidR="0027042D">
          <w:rPr>
            <w:noProof/>
            <w:webHidden/>
          </w:rPr>
        </w:r>
        <w:r w:rsidR="0027042D">
          <w:rPr>
            <w:noProof/>
            <w:webHidden/>
          </w:rPr>
          <w:fldChar w:fldCharType="separate"/>
        </w:r>
        <w:r w:rsidR="00AB3DE4">
          <w:rPr>
            <w:noProof/>
            <w:webHidden/>
          </w:rPr>
          <w:t>8</w:t>
        </w:r>
        <w:r w:rsidR="0027042D">
          <w:rPr>
            <w:noProof/>
            <w:webHidden/>
          </w:rPr>
          <w:fldChar w:fldCharType="end"/>
        </w:r>
      </w:hyperlink>
    </w:p>
    <w:p w14:paraId="2C074281" w14:textId="3E36BD70"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1" w:history="1">
        <w:r w:rsidR="0027042D" w:rsidRPr="00BD2FFB">
          <w:rPr>
            <w:rStyle w:val="Hyperlink"/>
            <w:rFonts w:eastAsia="MS Mincho"/>
            <w:noProof/>
            <w:lang w:eastAsia="ja-JP"/>
          </w:rPr>
          <w:t>Sector specific recommendations for improvements identified by ERT</w:t>
        </w:r>
        <w:r w:rsidR="0027042D">
          <w:rPr>
            <w:noProof/>
            <w:webHidden/>
          </w:rPr>
          <w:tab/>
        </w:r>
        <w:r w:rsidR="0027042D">
          <w:rPr>
            <w:noProof/>
            <w:webHidden/>
          </w:rPr>
          <w:fldChar w:fldCharType="begin"/>
        </w:r>
        <w:r w:rsidR="0027042D">
          <w:rPr>
            <w:noProof/>
            <w:webHidden/>
          </w:rPr>
          <w:instrText xml:space="preserve"> PAGEREF _Toc79490431 \h </w:instrText>
        </w:r>
        <w:r w:rsidR="0027042D">
          <w:rPr>
            <w:noProof/>
            <w:webHidden/>
          </w:rPr>
        </w:r>
        <w:r w:rsidR="0027042D">
          <w:rPr>
            <w:noProof/>
            <w:webHidden/>
          </w:rPr>
          <w:fldChar w:fldCharType="separate"/>
        </w:r>
        <w:r w:rsidR="00AB3DE4">
          <w:rPr>
            <w:noProof/>
            <w:webHidden/>
          </w:rPr>
          <w:t>9</w:t>
        </w:r>
        <w:r w:rsidR="0027042D">
          <w:rPr>
            <w:noProof/>
            <w:webHidden/>
          </w:rPr>
          <w:fldChar w:fldCharType="end"/>
        </w:r>
      </w:hyperlink>
    </w:p>
    <w:p w14:paraId="2D8F06E9" w14:textId="21012561"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2" w:history="1">
        <w:r w:rsidR="0027042D" w:rsidRPr="00BD2FFB">
          <w:rPr>
            <w:rStyle w:val="Hyperlink"/>
            <w:rFonts w:eastAsia="MS Mincho"/>
            <w:noProof/>
            <w:lang w:eastAsia="ja-JP"/>
          </w:rPr>
          <w:t>Energy</w:t>
        </w:r>
        <w:r w:rsidR="0027042D">
          <w:rPr>
            <w:noProof/>
            <w:webHidden/>
          </w:rPr>
          <w:tab/>
        </w:r>
        <w:r w:rsidR="0027042D">
          <w:rPr>
            <w:noProof/>
            <w:webHidden/>
          </w:rPr>
          <w:fldChar w:fldCharType="begin"/>
        </w:r>
        <w:r w:rsidR="0027042D">
          <w:rPr>
            <w:noProof/>
            <w:webHidden/>
          </w:rPr>
          <w:instrText xml:space="preserve"> PAGEREF _Toc79490432 \h </w:instrText>
        </w:r>
        <w:r w:rsidR="0027042D">
          <w:rPr>
            <w:noProof/>
            <w:webHidden/>
          </w:rPr>
        </w:r>
        <w:r w:rsidR="0027042D">
          <w:rPr>
            <w:noProof/>
            <w:webHidden/>
          </w:rPr>
          <w:fldChar w:fldCharType="separate"/>
        </w:r>
        <w:r w:rsidR="00AB3DE4">
          <w:rPr>
            <w:noProof/>
            <w:webHidden/>
          </w:rPr>
          <w:t>9</w:t>
        </w:r>
        <w:r w:rsidR="0027042D">
          <w:rPr>
            <w:noProof/>
            <w:webHidden/>
          </w:rPr>
          <w:fldChar w:fldCharType="end"/>
        </w:r>
      </w:hyperlink>
    </w:p>
    <w:p w14:paraId="6308ED63" w14:textId="6056872C"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3" w:history="1">
        <w:r w:rsidR="0027042D" w:rsidRPr="00BD2FFB">
          <w:rPr>
            <w:rStyle w:val="Hyperlink"/>
            <w:rFonts w:eastAsia="MS Mincho"/>
            <w:noProof/>
            <w:lang w:eastAsia="ja-JP"/>
          </w:rPr>
          <w:t>Transport</w:t>
        </w:r>
        <w:r w:rsidR="0027042D">
          <w:rPr>
            <w:noProof/>
            <w:webHidden/>
          </w:rPr>
          <w:tab/>
        </w:r>
        <w:r w:rsidR="0027042D">
          <w:rPr>
            <w:noProof/>
            <w:webHidden/>
          </w:rPr>
          <w:fldChar w:fldCharType="begin"/>
        </w:r>
        <w:r w:rsidR="0027042D">
          <w:rPr>
            <w:noProof/>
            <w:webHidden/>
          </w:rPr>
          <w:instrText xml:space="preserve"> PAGEREF _Toc79490433 \h </w:instrText>
        </w:r>
        <w:r w:rsidR="0027042D">
          <w:rPr>
            <w:noProof/>
            <w:webHidden/>
          </w:rPr>
        </w:r>
        <w:r w:rsidR="0027042D">
          <w:rPr>
            <w:noProof/>
            <w:webHidden/>
          </w:rPr>
          <w:fldChar w:fldCharType="separate"/>
        </w:r>
        <w:r w:rsidR="00AB3DE4">
          <w:rPr>
            <w:noProof/>
            <w:webHidden/>
          </w:rPr>
          <w:t>15</w:t>
        </w:r>
        <w:r w:rsidR="0027042D">
          <w:rPr>
            <w:noProof/>
            <w:webHidden/>
          </w:rPr>
          <w:fldChar w:fldCharType="end"/>
        </w:r>
      </w:hyperlink>
    </w:p>
    <w:p w14:paraId="6887D983" w14:textId="1363D367"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4" w:history="1">
        <w:r w:rsidR="0027042D" w:rsidRPr="00BD2FFB">
          <w:rPr>
            <w:rStyle w:val="Hyperlink"/>
            <w:rFonts w:eastAsia="MS Mincho"/>
            <w:noProof/>
          </w:rPr>
          <w:t>Industrial Processes</w:t>
        </w:r>
        <w:r w:rsidR="0027042D">
          <w:rPr>
            <w:noProof/>
            <w:webHidden/>
          </w:rPr>
          <w:tab/>
        </w:r>
        <w:r w:rsidR="0027042D">
          <w:rPr>
            <w:noProof/>
            <w:webHidden/>
          </w:rPr>
          <w:fldChar w:fldCharType="begin"/>
        </w:r>
        <w:r w:rsidR="0027042D">
          <w:rPr>
            <w:noProof/>
            <w:webHidden/>
          </w:rPr>
          <w:instrText xml:space="preserve"> PAGEREF _Toc79490434 \h </w:instrText>
        </w:r>
        <w:r w:rsidR="0027042D">
          <w:rPr>
            <w:noProof/>
            <w:webHidden/>
          </w:rPr>
        </w:r>
        <w:r w:rsidR="0027042D">
          <w:rPr>
            <w:noProof/>
            <w:webHidden/>
          </w:rPr>
          <w:fldChar w:fldCharType="separate"/>
        </w:r>
        <w:r w:rsidR="00AB3DE4">
          <w:rPr>
            <w:noProof/>
            <w:webHidden/>
          </w:rPr>
          <w:t>23</w:t>
        </w:r>
        <w:r w:rsidR="0027042D">
          <w:rPr>
            <w:noProof/>
            <w:webHidden/>
          </w:rPr>
          <w:fldChar w:fldCharType="end"/>
        </w:r>
      </w:hyperlink>
    </w:p>
    <w:p w14:paraId="3EB05BAB" w14:textId="7DEE0194"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5" w:history="1">
        <w:r w:rsidR="0027042D" w:rsidRPr="00BD2FFB">
          <w:rPr>
            <w:rStyle w:val="Hyperlink"/>
            <w:rFonts w:eastAsia="MS Mincho"/>
            <w:noProof/>
            <w:lang w:eastAsia="ja-JP"/>
          </w:rPr>
          <w:t>Solvents</w:t>
        </w:r>
        <w:r w:rsidR="0027042D">
          <w:rPr>
            <w:noProof/>
            <w:webHidden/>
          </w:rPr>
          <w:tab/>
        </w:r>
        <w:r w:rsidR="0027042D">
          <w:rPr>
            <w:noProof/>
            <w:webHidden/>
          </w:rPr>
          <w:fldChar w:fldCharType="begin"/>
        </w:r>
        <w:r w:rsidR="0027042D">
          <w:rPr>
            <w:noProof/>
            <w:webHidden/>
          </w:rPr>
          <w:instrText xml:space="preserve"> PAGEREF _Toc79490435 \h </w:instrText>
        </w:r>
        <w:r w:rsidR="0027042D">
          <w:rPr>
            <w:noProof/>
            <w:webHidden/>
          </w:rPr>
        </w:r>
        <w:r w:rsidR="0027042D">
          <w:rPr>
            <w:noProof/>
            <w:webHidden/>
          </w:rPr>
          <w:fldChar w:fldCharType="separate"/>
        </w:r>
        <w:r w:rsidR="00AB3DE4">
          <w:rPr>
            <w:noProof/>
            <w:webHidden/>
          </w:rPr>
          <w:t>31</w:t>
        </w:r>
        <w:r w:rsidR="0027042D">
          <w:rPr>
            <w:noProof/>
            <w:webHidden/>
          </w:rPr>
          <w:fldChar w:fldCharType="end"/>
        </w:r>
      </w:hyperlink>
    </w:p>
    <w:p w14:paraId="0EB98A3D" w14:textId="066290E9"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6" w:history="1">
        <w:r w:rsidR="0027042D" w:rsidRPr="00BD2FFB">
          <w:rPr>
            <w:rStyle w:val="Hyperlink"/>
            <w:noProof/>
          </w:rPr>
          <w:t>Agriculture</w:t>
        </w:r>
        <w:r w:rsidR="0027042D">
          <w:rPr>
            <w:noProof/>
            <w:webHidden/>
          </w:rPr>
          <w:tab/>
        </w:r>
        <w:r w:rsidR="0027042D">
          <w:rPr>
            <w:noProof/>
            <w:webHidden/>
          </w:rPr>
          <w:fldChar w:fldCharType="begin"/>
        </w:r>
        <w:r w:rsidR="0027042D">
          <w:rPr>
            <w:noProof/>
            <w:webHidden/>
          </w:rPr>
          <w:instrText xml:space="preserve"> PAGEREF _Toc79490436 \h </w:instrText>
        </w:r>
        <w:r w:rsidR="0027042D">
          <w:rPr>
            <w:noProof/>
            <w:webHidden/>
          </w:rPr>
        </w:r>
        <w:r w:rsidR="0027042D">
          <w:rPr>
            <w:noProof/>
            <w:webHidden/>
          </w:rPr>
          <w:fldChar w:fldCharType="separate"/>
        </w:r>
        <w:r w:rsidR="00AB3DE4">
          <w:rPr>
            <w:noProof/>
            <w:webHidden/>
          </w:rPr>
          <w:t>36</w:t>
        </w:r>
        <w:r w:rsidR="0027042D">
          <w:rPr>
            <w:noProof/>
            <w:webHidden/>
          </w:rPr>
          <w:fldChar w:fldCharType="end"/>
        </w:r>
      </w:hyperlink>
    </w:p>
    <w:p w14:paraId="7EF8F4D6" w14:textId="46FA709C"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7" w:history="1">
        <w:r w:rsidR="0027042D" w:rsidRPr="00BD2FFB">
          <w:rPr>
            <w:rStyle w:val="Hyperlink"/>
            <w:rFonts w:eastAsia="MS Mincho"/>
            <w:noProof/>
            <w:lang w:eastAsia="ja-JP"/>
          </w:rPr>
          <w:t>Waste</w:t>
        </w:r>
        <w:r w:rsidR="0027042D">
          <w:rPr>
            <w:noProof/>
            <w:webHidden/>
          </w:rPr>
          <w:tab/>
        </w:r>
        <w:r w:rsidR="0027042D">
          <w:rPr>
            <w:noProof/>
            <w:webHidden/>
          </w:rPr>
          <w:fldChar w:fldCharType="begin"/>
        </w:r>
        <w:r w:rsidR="0027042D">
          <w:rPr>
            <w:noProof/>
            <w:webHidden/>
          </w:rPr>
          <w:instrText xml:space="preserve"> PAGEREF _Toc79490437 \h </w:instrText>
        </w:r>
        <w:r w:rsidR="0027042D">
          <w:rPr>
            <w:noProof/>
            <w:webHidden/>
          </w:rPr>
        </w:r>
        <w:r w:rsidR="0027042D">
          <w:rPr>
            <w:noProof/>
            <w:webHidden/>
          </w:rPr>
          <w:fldChar w:fldCharType="separate"/>
        </w:r>
        <w:r w:rsidR="00AB3DE4">
          <w:rPr>
            <w:noProof/>
            <w:webHidden/>
          </w:rPr>
          <w:t>39</w:t>
        </w:r>
        <w:r w:rsidR="0027042D">
          <w:rPr>
            <w:noProof/>
            <w:webHidden/>
          </w:rPr>
          <w:fldChar w:fldCharType="end"/>
        </w:r>
      </w:hyperlink>
    </w:p>
    <w:p w14:paraId="2FD5BC2A" w14:textId="09E0B69D"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8" w:history="1">
        <w:r w:rsidR="0027042D" w:rsidRPr="00BD2FFB">
          <w:rPr>
            <w:rStyle w:val="Hyperlink"/>
            <w:noProof/>
          </w:rPr>
          <w:t>List of materials provided to ERT</w:t>
        </w:r>
        <w:r w:rsidR="0027042D">
          <w:rPr>
            <w:noProof/>
            <w:webHidden/>
          </w:rPr>
          <w:tab/>
        </w:r>
        <w:r w:rsidR="0027042D">
          <w:rPr>
            <w:noProof/>
            <w:webHidden/>
          </w:rPr>
          <w:fldChar w:fldCharType="begin"/>
        </w:r>
        <w:r w:rsidR="0027042D">
          <w:rPr>
            <w:noProof/>
            <w:webHidden/>
          </w:rPr>
          <w:instrText xml:space="preserve"> PAGEREF _Toc79490438 \h </w:instrText>
        </w:r>
        <w:r w:rsidR="0027042D">
          <w:rPr>
            <w:noProof/>
            <w:webHidden/>
          </w:rPr>
        </w:r>
        <w:r w:rsidR="0027042D">
          <w:rPr>
            <w:noProof/>
            <w:webHidden/>
          </w:rPr>
          <w:fldChar w:fldCharType="separate"/>
        </w:r>
        <w:r w:rsidR="00AB3DE4">
          <w:rPr>
            <w:noProof/>
            <w:webHidden/>
          </w:rPr>
          <w:t>42</w:t>
        </w:r>
        <w:r w:rsidR="0027042D">
          <w:rPr>
            <w:noProof/>
            <w:webHidden/>
          </w:rPr>
          <w:fldChar w:fldCharType="end"/>
        </w:r>
      </w:hyperlink>
    </w:p>
    <w:p w14:paraId="35A06C01" w14:textId="4CBD6837" w:rsidR="0027042D" w:rsidRDefault="00D77CBB">
      <w:pPr>
        <w:pStyle w:val="Verzeichnis2"/>
        <w:tabs>
          <w:tab w:val="right" w:leader="dot" w:pos="8302"/>
        </w:tabs>
        <w:rPr>
          <w:rFonts w:asciiTheme="minorHAnsi" w:eastAsiaTheme="minorEastAsia" w:hAnsiTheme="minorHAnsi" w:cstheme="minorBidi"/>
          <w:b w:val="0"/>
          <w:bCs w:val="0"/>
          <w:smallCaps w:val="0"/>
          <w:noProof/>
          <w:szCs w:val="22"/>
          <w:lang w:val="de-AT" w:eastAsia="de-AT"/>
        </w:rPr>
      </w:pPr>
      <w:hyperlink w:anchor="_Toc79490439" w:history="1">
        <w:r w:rsidR="0027042D" w:rsidRPr="00BD2FFB">
          <w:rPr>
            <w:rStyle w:val="Hyperlink"/>
            <w:noProof/>
          </w:rPr>
          <w:t>List of additional materials provided by the Country during the Review</w:t>
        </w:r>
        <w:r w:rsidR="0027042D">
          <w:rPr>
            <w:noProof/>
            <w:webHidden/>
          </w:rPr>
          <w:tab/>
        </w:r>
        <w:r w:rsidR="0027042D">
          <w:rPr>
            <w:noProof/>
            <w:webHidden/>
          </w:rPr>
          <w:fldChar w:fldCharType="begin"/>
        </w:r>
        <w:r w:rsidR="0027042D">
          <w:rPr>
            <w:noProof/>
            <w:webHidden/>
          </w:rPr>
          <w:instrText xml:space="preserve"> PAGEREF _Toc79490439 \h </w:instrText>
        </w:r>
        <w:r w:rsidR="0027042D">
          <w:rPr>
            <w:noProof/>
            <w:webHidden/>
          </w:rPr>
        </w:r>
        <w:r w:rsidR="0027042D">
          <w:rPr>
            <w:noProof/>
            <w:webHidden/>
          </w:rPr>
          <w:fldChar w:fldCharType="separate"/>
        </w:r>
        <w:r w:rsidR="00AB3DE4">
          <w:rPr>
            <w:noProof/>
            <w:webHidden/>
          </w:rPr>
          <w:t>42</w:t>
        </w:r>
        <w:r w:rsidR="0027042D">
          <w:rPr>
            <w:noProof/>
            <w:webHidden/>
          </w:rPr>
          <w:fldChar w:fldCharType="end"/>
        </w:r>
      </w:hyperlink>
    </w:p>
    <w:p w14:paraId="665C268C" w14:textId="4109351C" w:rsidR="0027042D" w:rsidRDefault="00D77CBB">
      <w:pPr>
        <w:pStyle w:val="Verzeichnis1"/>
        <w:tabs>
          <w:tab w:val="right" w:leader="dot" w:pos="8302"/>
        </w:tabs>
        <w:rPr>
          <w:rFonts w:asciiTheme="minorHAnsi" w:eastAsiaTheme="minorEastAsia" w:hAnsiTheme="minorHAnsi" w:cstheme="minorBidi"/>
          <w:b w:val="0"/>
          <w:bCs w:val="0"/>
          <w:caps w:val="0"/>
          <w:noProof/>
          <w:szCs w:val="22"/>
          <w:lang w:val="de-AT" w:eastAsia="de-AT"/>
        </w:rPr>
      </w:pPr>
      <w:hyperlink w:anchor="_Toc79490440" w:history="1">
        <w:r w:rsidR="0027042D" w:rsidRPr="00BD2FFB">
          <w:rPr>
            <w:rStyle w:val="Hyperlink"/>
            <w:noProof/>
          </w:rPr>
          <w:t>Annex i POTential Technical corrections</w:t>
        </w:r>
        <w:r w:rsidR="0027042D">
          <w:rPr>
            <w:noProof/>
            <w:webHidden/>
          </w:rPr>
          <w:tab/>
        </w:r>
        <w:r w:rsidR="0027042D">
          <w:rPr>
            <w:noProof/>
            <w:webHidden/>
          </w:rPr>
          <w:fldChar w:fldCharType="begin"/>
        </w:r>
        <w:r w:rsidR="0027042D">
          <w:rPr>
            <w:noProof/>
            <w:webHidden/>
          </w:rPr>
          <w:instrText xml:space="preserve"> PAGEREF _Toc79490440 \h </w:instrText>
        </w:r>
        <w:r w:rsidR="0027042D">
          <w:rPr>
            <w:noProof/>
            <w:webHidden/>
          </w:rPr>
        </w:r>
        <w:r w:rsidR="0027042D">
          <w:rPr>
            <w:noProof/>
            <w:webHidden/>
          </w:rPr>
          <w:fldChar w:fldCharType="separate"/>
        </w:r>
        <w:r w:rsidR="00AB3DE4">
          <w:rPr>
            <w:noProof/>
            <w:webHidden/>
          </w:rPr>
          <w:t>43</w:t>
        </w:r>
        <w:r w:rsidR="0027042D">
          <w:rPr>
            <w:noProof/>
            <w:webHidden/>
          </w:rPr>
          <w:fldChar w:fldCharType="end"/>
        </w:r>
      </w:hyperlink>
    </w:p>
    <w:p w14:paraId="4623C762" w14:textId="1BA95C1D" w:rsidR="00945281" w:rsidRDefault="005905B3" w:rsidP="008C5FD8">
      <w:pPr>
        <w:pStyle w:val="berschrift1"/>
      </w:pPr>
      <w:r w:rsidRPr="1927D599">
        <w:fldChar w:fldCharType="end"/>
      </w:r>
      <w:r w:rsidR="00945281">
        <w:br w:type="page"/>
      </w:r>
      <w:bookmarkStart w:id="6" w:name="_Toc79490414"/>
      <w:r w:rsidR="00945281">
        <w:lastRenderedPageBreak/>
        <w:t>Introduction</w:t>
      </w:r>
      <w:bookmarkEnd w:id="6"/>
      <w:r w:rsidR="00F267DD">
        <w:t xml:space="preserve"> </w:t>
      </w:r>
    </w:p>
    <w:p w14:paraId="737EF9D6" w14:textId="77777777" w:rsidR="00167FB9" w:rsidRPr="006E7666" w:rsidRDefault="00167FB9" w:rsidP="007F5740">
      <w:pPr>
        <w:pStyle w:val="RegPara"/>
        <w:numPr>
          <w:ilvl w:val="3"/>
          <w:numId w:val="6"/>
        </w:numPr>
      </w:pPr>
      <w:r w:rsidRPr="00274C5E">
        <w:t xml:space="preserve">The mandate and overall objectives for the emission inventory review process under the LRTAP Convention is </w:t>
      </w:r>
      <w:r w:rsidRPr="001C1289">
        <w:t>given</w:t>
      </w:r>
      <w:r w:rsidRPr="00274C5E">
        <w:t xml:space="preserve"> by the UNECE document ‘</w:t>
      </w:r>
      <w:r w:rsidRPr="00D77CBB">
        <w:rPr>
          <w:i/>
        </w:rPr>
        <w:t>Updated methods and procedures for the technical reviews of  air pollutant emission inventories reported under the Convention</w:t>
      </w:r>
      <w:r w:rsidRPr="008D3712">
        <w:t>’</w:t>
      </w:r>
      <w:r w:rsidRPr="00D77CBB">
        <w:rPr>
          <w:vertAlign w:val="superscript"/>
        </w:rPr>
        <w:t>(</w:t>
      </w:r>
      <w:r w:rsidRPr="00D77CBB">
        <w:rPr>
          <w:vertAlign w:val="superscript"/>
        </w:rPr>
        <w:footnoteReference w:id="1"/>
      </w:r>
      <w:r w:rsidRPr="00D77CBB">
        <w:rPr>
          <w:vertAlign w:val="superscript"/>
        </w:rPr>
        <w:t>)</w:t>
      </w:r>
      <w:r w:rsidRPr="006E7666">
        <w:t xml:space="preserve"> – hereafter referred to as the ‘</w:t>
      </w:r>
      <w:r w:rsidRPr="008D3712">
        <w:t>Review guidelines 2018’</w:t>
      </w:r>
      <w:r w:rsidRPr="006E7666">
        <w:t>.</w:t>
      </w:r>
    </w:p>
    <w:p w14:paraId="6943800D" w14:textId="77777777" w:rsidR="00167FB9" w:rsidRPr="008D3712" w:rsidRDefault="00167FB9" w:rsidP="007F5740">
      <w:pPr>
        <w:pStyle w:val="RegPara"/>
        <w:numPr>
          <w:ilvl w:val="3"/>
          <w:numId w:val="6"/>
        </w:numPr>
      </w:pPr>
      <w:r w:rsidRPr="001F3C94">
        <w:t>This annual review, has checked all pollutants covered by LRTAP Convention and its protocols  (SO</w:t>
      </w:r>
      <w:r w:rsidRPr="007F5740">
        <w:rPr>
          <w:vertAlign w:val="subscript"/>
        </w:rPr>
        <w:t>2</w:t>
      </w:r>
      <w:r w:rsidRPr="0047469E">
        <w:t>, NOx, NMVOC, NH</w:t>
      </w:r>
      <w:r w:rsidRPr="007F5740">
        <w:rPr>
          <w:vertAlign w:val="subscript"/>
        </w:rPr>
        <w:t>3</w:t>
      </w:r>
      <w:r w:rsidRPr="00A87351">
        <w:t>, plus PM</w:t>
      </w:r>
      <w:r w:rsidRPr="007F5740">
        <w:rPr>
          <w:vertAlign w:val="subscript"/>
        </w:rPr>
        <w:t>10</w:t>
      </w:r>
      <w:r w:rsidRPr="00A87351">
        <w:t xml:space="preserve"> PM</w:t>
      </w:r>
      <w:r w:rsidRPr="007F5740">
        <w:rPr>
          <w:vertAlign w:val="subscript"/>
        </w:rPr>
        <w:t>2.5</w:t>
      </w:r>
      <w:r w:rsidRPr="00A87351">
        <w:t>, BC, 3 HMs and POP</w:t>
      </w:r>
      <w:r w:rsidRPr="007F5740">
        <w:rPr>
          <w:vertAlign w:val="subscript"/>
        </w:rPr>
        <w:t>S</w:t>
      </w:r>
      <w:r w:rsidRPr="00710E09">
        <w:t xml:space="preserve">) for the time series years </w:t>
      </w:r>
      <w:r w:rsidRPr="008D3712">
        <w:t>1990 – 201</w:t>
      </w:r>
      <w:r w:rsidRPr="006E7666">
        <w:t xml:space="preserve">9 reflecting current priorities from EMEP Steering Body and the Task Force on Emission Inventories and Projections (TFEIP). </w:t>
      </w:r>
      <w:r w:rsidRPr="008D3712">
        <w:t>HMs and POPs have been reviewed to the extent possible.</w:t>
      </w:r>
    </w:p>
    <w:p w14:paraId="5D944F8F" w14:textId="71731DC8" w:rsidR="00167FB9" w:rsidRPr="006E7666" w:rsidRDefault="00167FB9" w:rsidP="00D77CBB">
      <w:pPr>
        <w:pStyle w:val="RegPara"/>
        <w:numPr>
          <w:ilvl w:val="3"/>
          <w:numId w:val="6"/>
        </w:numPr>
      </w:pPr>
      <w:r w:rsidRPr="006E7666">
        <w:t xml:space="preserve">This report covers the stage 3 centralised reviews of the UNECE LRTAP Convention </w:t>
      </w:r>
      <w:r w:rsidRPr="008D3712">
        <w:t>of Liechtenstein coordinated by the EMEP emission centre CEIP acting as review secretariat. The review took place during May and June and was performed as desk review with virtual meetings</w:t>
      </w:r>
      <w:r w:rsidRPr="00504A09">
        <w:t xml:space="preserve">. The following team of nominated experts from the roster of experts performed the review: </w:t>
      </w:r>
      <w:r w:rsidR="00504A09">
        <w:t>G</w:t>
      </w:r>
      <w:r w:rsidRPr="00504A09">
        <w:t xml:space="preserve">eneralist – </w:t>
      </w:r>
      <w:r w:rsidR="00504A09" w:rsidRPr="00504A09">
        <w:t>Zuzana Herrer</w:t>
      </w:r>
      <w:r w:rsidR="00AD5A17">
        <w:t>a</w:t>
      </w:r>
      <w:r w:rsidRPr="00504A09">
        <w:t xml:space="preserve"> (</w:t>
      </w:r>
      <w:r w:rsidR="00504A09" w:rsidRPr="00504A09">
        <w:t>Czechia</w:t>
      </w:r>
      <w:r w:rsidRPr="00504A09">
        <w:t xml:space="preserve">), Energy – </w:t>
      </w:r>
      <w:r w:rsidR="00504A09" w:rsidRPr="00504A09">
        <w:t xml:space="preserve">Tomas Gustafsson </w:t>
      </w:r>
      <w:r w:rsidRPr="00504A09">
        <w:t>(</w:t>
      </w:r>
      <w:r w:rsidR="00504A09" w:rsidRPr="00504A09">
        <w:t>Sweden</w:t>
      </w:r>
      <w:r w:rsidRPr="00504A09">
        <w:t xml:space="preserve">), Transport – </w:t>
      </w:r>
      <w:r w:rsidR="00504A09" w:rsidRPr="00504A09">
        <w:t xml:space="preserve">Giannis Papadimitriou </w:t>
      </w:r>
      <w:r w:rsidRPr="00504A09">
        <w:t>(</w:t>
      </w:r>
      <w:r w:rsidR="00504A09" w:rsidRPr="00504A09">
        <w:t>EU/Greece</w:t>
      </w:r>
      <w:r w:rsidRPr="00504A09">
        <w:t>),  IPPU</w:t>
      </w:r>
      <w:r w:rsidR="00504A09">
        <w:t xml:space="preserve"> </w:t>
      </w:r>
      <w:r w:rsidR="004F34C2" w:rsidRPr="00504A09">
        <w:t>–</w:t>
      </w:r>
      <w:r w:rsidR="00504A09">
        <w:t xml:space="preserve"> </w:t>
      </w:r>
      <w:r w:rsidR="00504A09" w:rsidRPr="00504A09">
        <w:t xml:space="preserve">Mirela Poljanac </w:t>
      </w:r>
      <w:r w:rsidRPr="00504A09">
        <w:t>(</w:t>
      </w:r>
      <w:r w:rsidR="00504A09" w:rsidRPr="00504A09">
        <w:t>Croatia</w:t>
      </w:r>
      <w:r w:rsidR="00D77CBB">
        <w:t xml:space="preserve">), </w:t>
      </w:r>
      <w:r w:rsidRPr="00504A09">
        <w:t xml:space="preserve">Agriculture  – </w:t>
      </w:r>
      <w:r w:rsidR="00504A09" w:rsidRPr="00504A09">
        <w:t xml:space="preserve">Tim van der Zee </w:t>
      </w:r>
      <w:r w:rsidRPr="00504A09">
        <w:t>(</w:t>
      </w:r>
      <w:r w:rsidR="00504A09" w:rsidRPr="00504A09">
        <w:t>Netherland</w:t>
      </w:r>
      <w:r w:rsidRPr="00504A09">
        <w:t xml:space="preserve">), Waste – </w:t>
      </w:r>
      <w:r w:rsidR="00504A09" w:rsidRPr="00504A09">
        <w:t>Tomas Gustafsson (Sweden)</w:t>
      </w:r>
      <w:r w:rsidRPr="00504A09">
        <w:t>.</w:t>
      </w:r>
    </w:p>
    <w:p w14:paraId="1DBCFCD0" w14:textId="77777777" w:rsidR="00167FB9" w:rsidRPr="006E7666" w:rsidRDefault="00167FB9" w:rsidP="007F5740">
      <w:pPr>
        <w:pStyle w:val="RegPara"/>
        <w:numPr>
          <w:ilvl w:val="3"/>
          <w:numId w:val="6"/>
        </w:numPr>
      </w:pPr>
      <w:r w:rsidRPr="008D3712">
        <w:t xml:space="preserve">Anne Misra was the lead reviewer. </w:t>
      </w:r>
      <w:r w:rsidRPr="006E7666">
        <w:t>The review was coordinated by Katarina Marečková, (EMEP Centre on Emission Inventories and Projections - CEIP).</w:t>
      </w:r>
    </w:p>
    <w:p w14:paraId="58ED916D" w14:textId="0A75E684" w:rsidR="00945281" w:rsidRDefault="00945281">
      <w:pPr>
        <w:pStyle w:val="berschrift1"/>
      </w:pPr>
      <w:r>
        <w:rPr>
          <w:highlight w:val="lightGray"/>
        </w:rPr>
        <w:br w:type="page"/>
      </w:r>
      <w:bookmarkStart w:id="7" w:name="_Toc79490415"/>
      <w:r>
        <w:lastRenderedPageBreak/>
        <w:t>P</w:t>
      </w:r>
      <w:r w:rsidR="00CB58DF">
        <w:t>art A</w:t>
      </w:r>
      <w:r>
        <w:t xml:space="preserve">: </w:t>
      </w:r>
      <w:r w:rsidR="00CB58DF">
        <w:t xml:space="preserve">Key Review </w:t>
      </w:r>
      <w:r>
        <w:t>F</w:t>
      </w:r>
      <w:r w:rsidR="00CB58DF">
        <w:t>indings</w:t>
      </w:r>
      <w:bookmarkEnd w:id="7"/>
      <w:r w:rsidR="00F267DD">
        <w:t xml:space="preserve"> </w:t>
      </w:r>
    </w:p>
    <w:p w14:paraId="23E0ED0F" w14:textId="494E3D8E" w:rsidR="00CE0759" w:rsidRDefault="00CE0759" w:rsidP="007F5740">
      <w:pPr>
        <w:pStyle w:val="RegPara"/>
      </w:pPr>
      <w:r w:rsidRPr="00CE0759">
        <w:t>The inventory is generally in line with the 2019 EMEP EEA inventory guidebook and UNECE Reporting Guidelines.</w:t>
      </w:r>
      <w:r>
        <w:t xml:space="preserve"> However, for </w:t>
      </w:r>
      <w:r w:rsidRPr="00CE0759">
        <w:t>aviation and road transport</w:t>
      </w:r>
      <w:r>
        <w:t xml:space="preserve"> </w:t>
      </w:r>
      <w:r w:rsidRPr="00CE0759">
        <w:t xml:space="preserve">the 2013 version of the Guidebook is </w:t>
      </w:r>
      <w:r>
        <w:t>used.</w:t>
      </w:r>
    </w:p>
    <w:p w14:paraId="1765150D" w14:textId="6D8D79DD" w:rsidR="00CE0759" w:rsidRDefault="00CE0759" w:rsidP="007F5740">
      <w:pPr>
        <w:pStyle w:val="RegPara"/>
      </w:pPr>
      <w:r>
        <w:t xml:space="preserve">Montenegro’s </w:t>
      </w:r>
      <w:r w:rsidRPr="001E156F">
        <w:t xml:space="preserve">inventory is </w:t>
      </w:r>
      <w:r>
        <w:t>largely</w:t>
      </w:r>
      <w:r w:rsidRPr="001E156F">
        <w:t xml:space="preserve"> complete for the pollutants reviewed</w:t>
      </w:r>
      <w:r>
        <w:t xml:space="preserve"> for the majority of sectors. The inventor</w:t>
      </w:r>
      <w:r w:rsidR="00D77CBB">
        <w:t>ies</w:t>
      </w:r>
      <w:r>
        <w:t xml:space="preserve"> for the </w:t>
      </w:r>
      <w:r w:rsidR="00231097">
        <w:t xml:space="preserve">energy, </w:t>
      </w:r>
      <w:r>
        <w:t xml:space="preserve">agriculture and waste sectors are incomplete. </w:t>
      </w:r>
    </w:p>
    <w:p w14:paraId="7BBA1A84" w14:textId="016A1C7F" w:rsidR="00CE0759" w:rsidRDefault="005656B6" w:rsidP="007F5740">
      <w:pPr>
        <w:pStyle w:val="RegPara"/>
      </w:pPr>
      <w:r>
        <w:t>A</w:t>
      </w:r>
      <w:r w:rsidR="00CE0759">
        <w:t xml:space="preserve">ctivity </w:t>
      </w:r>
      <w:r>
        <w:t>data</w:t>
      </w:r>
      <w:r w:rsidR="00CE0759" w:rsidRPr="00D01551">
        <w:t xml:space="preserve"> </w:t>
      </w:r>
      <w:r>
        <w:t>are reported for most sectors and years in the Annex I reporting template</w:t>
      </w:r>
      <w:r w:rsidR="00CE0759" w:rsidRPr="00D01551">
        <w:t>.</w:t>
      </w:r>
    </w:p>
    <w:p w14:paraId="00865970" w14:textId="1F0EBD88" w:rsidR="005656B6" w:rsidRPr="00DD40D4" w:rsidRDefault="005656B6" w:rsidP="007F5740">
      <w:pPr>
        <w:pStyle w:val="RegPara"/>
      </w:pPr>
      <w:r>
        <w:t xml:space="preserve">The </w:t>
      </w:r>
      <w:r w:rsidRPr="009922A6">
        <w:t xml:space="preserve">ERT noted that </w:t>
      </w:r>
      <w:r>
        <w:t xml:space="preserve">emissions trends and </w:t>
      </w:r>
      <w:r w:rsidRPr="009922A6">
        <w:t xml:space="preserve">recalculations have </w:t>
      </w:r>
      <w:r>
        <w:t xml:space="preserve">not </w:t>
      </w:r>
      <w:r w:rsidRPr="009922A6">
        <w:t xml:space="preserve">been </w:t>
      </w:r>
      <w:r w:rsidRPr="00DD40D4">
        <w:t xml:space="preserve">described in detail in the IIR. </w:t>
      </w:r>
      <w:r w:rsidR="00C61EB5">
        <w:t>T</w:t>
      </w:r>
      <w:r w:rsidR="00C61EB5" w:rsidRPr="00231097">
        <w:t>he information provided in the IIR and Annex I NFR tables are inconsistent, i.e. the IIR states that a Tier 1 EF</w:t>
      </w:r>
      <w:r w:rsidR="00D77CBB">
        <w:t>s</w:t>
      </w:r>
      <w:r w:rsidR="00C61EB5" w:rsidRPr="00231097">
        <w:t xml:space="preserve"> has been applied to estimate emissions of most key categories whereas a Tier 2 EF</w:t>
      </w:r>
      <w:r w:rsidR="00D77CBB">
        <w:t>s</w:t>
      </w:r>
      <w:r w:rsidR="00C61EB5" w:rsidRPr="00231097">
        <w:t xml:space="preserve"> has been used in the NFR tables.</w:t>
      </w:r>
    </w:p>
    <w:p w14:paraId="3D21DDFA" w14:textId="1582799B" w:rsidR="005656B6" w:rsidRPr="00DD40D4" w:rsidRDefault="005656B6" w:rsidP="007F5740">
      <w:pPr>
        <w:pStyle w:val="RegPara"/>
      </w:pPr>
      <w:r w:rsidRPr="00DD40D4">
        <w:t xml:space="preserve">ERT also noted that </w:t>
      </w:r>
      <w:r>
        <w:t>Montenegro</w:t>
      </w:r>
      <w:r w:rsidRPr="00DD40D4">
        <w:t xml:space="preserve"> applies Tier 1 methods and default parameters for </w:t>
      </w:r>
      <w:r w:rsidRPr="00DD40D4">
        <w:rPr>
          <w:lang w:eastAsia="zh-CN"/>
        </w:rPr>
        <w:t xml:space="preserve">some </w:t>
      </w:r>
      <w:r w:rsidRPr="00DD40D4">
        <w:t xml:space="preserve">key categories (e.g. </w:t>
      </w:r>
      <w:r>
        <w:t>Road Transport, Agriculture</w:t>
      </w:r>
      <w:r w:rsidRPr="00DD40D4">
        <w:t>).</w:t>
      </w:r>
    </w:p>
    <w:p w14:paraId="53C9EC7F" w14:textId="0D425E73" w:rsidR="005656B6" w:rsidRPr="004469BF" w:rsidRDefault="2A9278A2" w:rsidP="007F5740">
      <w:pPr>
        <w:pStyle w:val="RegPara"/>
      </w:pPr>
      <w:r w:rsidRPr="004469BF">
        <w:t>The 20</w:t>
      </w:r>
      <w:r w:rsidR="004469BF" w:rsidRPr="004469BF">
        <w:t xml:space="preserve">21 </w:t>
      </w:r>
      <w:r w:rsidRPr="004469BF">
        <w:t xml:space="preserve">submission shows </w:t>
      </w:r>
      <w:r w:rsidRPr="004469BF">
        <w:rPr>
          <w:lang w:eastAsia="zh-CN"/>
        </w:rPr>
        <w:t xml:space="preserve">that </w:t>
      </w:r>
      <w:r w:rsidRPr="004469BF">
        <w:t xml:space="preserve">improvement in the number of issues </w:t>
      </w:r>
      <w:r w:rsidRPr="004469BF">
        <w:rPr>
          <w:lang w:eastAsia="zh-CN"/>
        </w:rPr>
        <w:t>nevertheless</w:t>
      </w:r>
      <w:r w:rsidRPr="004469BF">
        <w:t xml:space="preserve"> the ERT identified a need for further improvements in the </w:t>
      </w:r>
      <w:r w:rsidR="00C200E9" w:rsidRPr="004469BF">
        <w:t xml:space="preserve">transparency, </w:t>
      </w:r>
      <w:r w:rsidR="00AD5A17" w:rsidRPr="004469BF">
        <w:t>completeness and</w:t>
      </w:r>
      <w:r w:rsidR="004469BF" w:rsidRPr="004469BF">
        <w:t xml:space="preserve"> </w:t>
      </w:r>
      <w:r w:rsidRPr="004469BF">
        <w:t>consistency</w:t>
      </w:r>
      <w:r w:rsidR="004469BF" w:rsidRPr="004469BF">
        <w:t xml:space="preserve"> of both the emission data and the </w:t>
      </w:r>
      <w:r w:rsidRPr="004469BF">
        <w:t>IIR</w:t>
      </w:r>
      <w:r w:rsidR="004469BF" w:rsidRPr="004469BF">
        <w:t>.</w:t>
      </w:r>
    </w:p>
    <w:p w14:paraId="1A5A75EA" w14:textId="697EAF7E" w:rsidR="005656B6" w:rsidRPr="00AE17A5" w:rsidRDefault="005656B6" w:rsidP="007F5740">
      <w:pPr>
        <w:pStyle w:val="RegPara"/>
      </w:pPr>
      <w:r w:rsidRPr="00AE17A5">
        <w:t xml:space="preserve">The ERT thanks </w:t>
      </w:r>
      <w:r>
        <w:t>Montenegro</w:t>
      </w:r>
      <w:r w:rsidR="00D77CBB">
        <w:t xml:space="preserve"> </w:t>
      </w:r>
      <w:r w:rsidRPr="00AE17A5">
        <w:t>for participating actively in the Stage 3 review process by providing further information and data when requested. Based on that information, the ERT was able to review the inventory in detail and to provide several detailed recommendations.</w:t>
      </w:r>
    </w:p>
    <w:p w14:paraId="601EB5D8" w14:textId="77777777" w:rsidR="00945281" w:rsidRDefault="00945281">
      <w:pPr>
        <w:pStyle w:val="berschrift2"/>
      </w:pPr>
      <w:bookmarkStart w:id="8" w:name="_Toc79490416"/>
      <w:r>
        <w:t>Inventory Submission</w:t>
      </w:r>
      <w:bookmarkEnd w:id="8"/>
    </w:p>
    <w:p w14:paraId="5144F09F" w14:textId="77777777" w:rsidR="00AD5A17" w:rsidRPr="00AD5A17" w:rsidRDefault="00AD5A17" w:rsidP="007F5740">
      <w:pPr>
        <w:pStyle w:val="RegPara"/>
      </w:pPr>
      <w:bookmarkStart w:id="9" w:name="_Toc127771466"/>
      <w:bookmarkStart w:id="10" w:name="_Toc168979326"/>
      <w:r w:rsidRPr="00AD5A17">
        <w:t>Montenegro reported emissions for its Protocol base years (1990) and a full time series to 2019 (the latest year) for its protocol pollutants in the NFR format. In addition, Montenegro also submitted a detailed IIR.</w:t>
      </w:r>
    </w:p>
    <w:p w14:paraId="5CCFDE33" w14:textId="77777777" w:rsidR="00AD5A17" w:rsidRPr="00AD5A17" w:rsidRDefault="00AD5A17" w:rsidP="007F5740">
      <w:pPr>
        <w:pStyle w:val="RegPara"/>
      </w:pPr>
      <w:r w:rsidRPr="00AD5A17">
        <w:t>The CLRTAP inventory submitted by Montenegro is of good quality and is in general well documented in the informative inventory report (IIR).</w:t>
      </w:r>
    </w:p>
    <w:p w14:paraId="541FEA05" w14:textId="77777777" w:rsidR="00945281" w:rsidRDefault="00945281">
      <w:pPr>
        <w:pStyle w:val="berschrift2"/>
      </w:pPr>
      <w:bookmarkStart w:id="11" w:name="_Toc79490417"/>
      <w:r>
        <w:t>Key categories</w:t>
      </w:r>
      <w:bookmarkEnd w:id="9"/>
      <w:bookmarkEnd w:id="10"/>
      <w:bookmarkEnd w:id="11"/>
    </w:p>
    <w:p w14:paraId="133E062A" w14:textId="77777777" w:rsidR="00AD5A17" w:rsidRPr="00AD5A17" w:rsidRDefault="00AD5A17" w:rsidP="007F5740">
      <w:pPr>
        <w:pStyle w:val="RegPara"/>
      </w:pPr>
      <w:r w:rsidRPr="00AD5A17">
        <w:t>Montenegro has compiled and presented a level Key Category Analysis for the following pollutants: NO</w:t>
      </w:r>
      <w:r w:rsidRPr="00112A7C">
        <w:rPr>
          <w:vertAlign w:val="subscript"/>
        </w:rPr>
        <w:t>X</w:t>
      </w:r>
      <w:r w:rsidRPr="00AD5A17">
        <w:t>, CO, NMVOC, SO</w:t>
      </w:r>
      <w:r w:rsidRPr="00AD5A17">
        <w:rPr>
          <w:vertAlign w:val="subscript"/>
        </w:rPr>
        <w:t>2</w:t>
      </w:r>
      <w:r w:rsidRPr="00AD5A17">
        <w:t>, NH</w:t>
      </w:r>
      <w:r w:rsidRPr="00AD5A17">
        <w:rPr>
          <w:vertAlign w:val="subscript"/>
        </w:rPr>
        <w:t>3</w:t>
      </w:r>
      <w:r w:rsidRPr="00AD5A17">
        <w:t>, TSP, PM</w:t>
      </w:r>
      <w:r w:rsidRPr="00AD5A17">
        <w:rPr>
          <w:vertAlign w:val="subscript"/>
        </w:rPr>
        <w:t>10</w:t>
      </w:r>
      <w:r w:rsidRPr="00AD5A17">
        <w:t xml:space="preserve"> and PM</w:t>
      </w:r>
      <w:r w:rsidRPr="00AD5A17">
        <w:rPr>
          <w:vertAlign w:val="subscript"/>
        </w:rPr>
        <w:t>2.5</w:t>
      </w:r>
      <w:r w:rsidRPr="00AD5A17">
        <w:t xml:space="preserve">, Pb, Cd, Hg, As, Cr, Cu, Ni, Se, Zn and Dioxins, PAH, HCB and PCBs. All sectors have been included. </w:t>
      </w:r>
    </w:p>
    <w:p w14:paraId="03D2D078" w14:textId="77777777" w:rsidR="00945281" w:rsidRDefault="00945281">
      <w:pPr>
        <w:pStyle w:val="berschrift2"/>
      </w:pPr>
      <w:bookmarkStart w:id="12" w:name="_Toc79490418"/>
      <w:r>
        <w:lastRenderedPageBreak/>
        <w:t>Quality</w:t>
      </w:r>
      <w:bookmarkEnd w:id="12"/>
    </w:p>
    <w:p w14:paraId="49942E5C" w14:textId="77777777" w:rsidR="00945281" w:rsidRDefault="00945281" w:rsidP="00274C5E">
      <w:pPr>
        <w:pStyle w:val="berschrift3"/>
      </w:pPr>
      <w:bookmarkStart w:id="13" w:name="_Toc79490419"/>
      <w:r w:rsidRPr="00274C5E">
        <w:t>Transparency</w:t>
      </w:r>
      <w:bookmarkEnd w:id="13"/>
    </w:p>
    <w:p w14:paraId="563380E0" w14:textId="7843484A" w:rsidR="00AD5A17" w:rsidRPr="00AD5A17" w:rsidRDefault="00AD5A17" w:rsidP="007F5740">
      <w:pPr>
        <w:pStyle w:val="RegPara"/>
      </w:pPr>
      <w:r w:rsidRPr="00AD5A17">
        <w:t>The ERT recognises the level of effort undertaken by Montenegro in providing an inventory of a significant level of detail. However, the ERT noted that the reported values frequently do not correspond to the reported activity data and EF default Tier values (according to the EMEP/EEA Guidebook 2019)</w:t>
      </w:r>
      <w:r w:rsidR="00D77CBB">
        <w:t>,</w:t>
      </w:r>
      <w:r w:rsidRPr="00AD5A17">
        <w:t xml:space="preserve"> that are referenced in the IIR</w:t>
      </w:r>
      <w:r w:rsidR="00D77CBB">
        <w:t>.</w:t>
      </w:r>
      <w:r w:rsidRPr="00AD5A17">
        <w:t xml:space="preserve"> </w:t>
      </w:r>
      <w:r w:rsidR="00D77CBB">
        <w:t xml:space="preserve">This AD and EFs seem </w:t>
      </w:r>
      <w:r w:rsidRPr="00AD5A17">
        <w:t>not to have been used for the calculation and/or recalculation. The ERT recommends that Montenegro improves the quality and transparency of the IIR, by eliminating any inconsistencies in the activity data and EFs used in accordance with the EMEP/EEA Guidebook 2019.</w:t>
      </w:r>
    </w:p>
    <w:p w14:paraId="2CE06F1C" w14:textId="77777777" w:rsidR="00945281" w:rsidRDefault="00945281">
      <w:pPr>
        <w:pStyle w:val="berschrift3"/>
      </w:pPr>
      <w:bookmarkStart w:id="14" w:name="_Toc79490420"/>
      <w:r>
        <w:t>Completeness</w:t>
      </w:r>
      <w:bookmarkEnd w:id="14"/>
    </w:p>
    <w:p w14:paraId="76035D66" w14:textId="77777777" w:rsidR="00AD5A17" w:rsidRPr="00AD5A17" w:rsidRDefault="00AD5A17" w:rsidP="007F5740">
      <w:pPr>
        <w:pStyle w:val="RegPara"/>
        <w:numPr>
          <w:ilvl w:val="3"/>
          <w:numId w:val="6"/>
        </w:numPr>
      </w:pPr>
      <w:r w:rsidRPr="00AD5A17">
        <w:t>The ERT acknowledges the effort to which Montenegro has gone to provide estimates of emissions for all sub-sectors and all pollutants reviewed.</w:t>
      </w:r>
    </w:p>
    <w:p w14:paraId="7A23000C" w14:textId="517A00DA" w:rsidR="00AD5A17" w:rsidRPr="00AD5A17" w:rsidRDefault="00AD5A17" w:rsidP="007F5740">
      <w:pPr>
        <w:pStyle w:val="RegPara"/>
        <w:numPr>
          <w:ilvl w:val="3"/>
          <w:numId w:val="6"/>
        </w:numPr>
      </w:pPr>
      <w:r w:rsidRPr="00AD5A17">
        <w:t xml:space="preserve">Montenegro’s inventory for the pollutants reviewed is generally complete. However, the ERT noted use of IE for all pollutants from </w:t>
      </w:r>
      <w:r w:rsidRPr="00D77CBB">
        <w:rPr>
          <w:i/>
        </w:rPr>
        <w:t>Mobile Combustion</w:t>
      </w:r>
      <w:r w:rsidRPr="00AD5A17">
        <w:t xml:space="preserve"> </w:t>
      </w:r>
      <w:r w:rsidRPr="00D77CBB">
        <w:rPr>
          <w:i/>
        </w:rPr>
        <w:t>in manufacturing industries and construction</w:t>
      </w:r>
      <w:r w:rsidRPr="00AD5A17">
        <w:t xml:space="preserve"> in the reporting tables and IIR. The ERT acknowledges the relatively small contribution of these sub-sectors and possible difficulties to obtain activity data. However, this issue affects not only the completeness but also quality and comparability of the inventory since the emissions of these sub-sectors are not reported separately according to the NFR format. The ERT encourages Montenegro to provide emission estimates separately for all subsectors according to the NFR format.</w:t>
      </w:r>
    </w:p>
    <w:p w14:paraId="2BC5BF13" w14:textId="59433985" w:rsidR="00AD5A17" w:rsidRPr="00AD5A17" w:rsidRDefault="00AD5A17" w:rsidP="007F5740">
      <w:pPr>
        <w:pStyle w:val="RegPara"/>
        <w:numPr>
          <w:ilvl w:val="3"/>
          <w:numId w:val="6"/>
        </w:numPr>
      </w:pPr>
      <w:r w:rsidRPr="00AD5A17">
        <w:t xml:space="preserve">The ERT recommends that the </w:t>
      </w:r>
      <w:r w:rsidR="009912D5">
        <w:t>P</w:t>
      </w:r>
      <w:r w:rsidRPr="00AD5A17">
        <w:t xml:space="preserve">arty performs additional reviews to identify potential gaps in the inventory. </w:t>
      </w:r>
    </w:p>
    <w:p w14:paraId="69C2B272" w14:textId="77777777" w:rsidR="00945281" w:rsidRDefault="00945281">
      <w:pPr>
        <w:pStyle w:val="berschrift3"/>
      </w:pPr>
      <w:bookmarkStart w:id="15" w:name="_Toc79490421"/>
      <w:r w:rsidRPr="00E64C0F">
        <w:t>Consistency, including recalculations and time-series</w:t>
      </w:r>
      <w:bookmarkEnd w:id="15"/>
    </w:p>
    <w:p w14:paraId="283D0099" w14:textId="0B9BDC7A" w:rsidR="00E64C0F" w:rsidRPr="00E64C0F" w:rsidRDefault="00E64C0F" w:rsidP="007F5740">
      <w:pPr>
        <w:pStyle w:val="RegPara"/>
        <w:numPr>
          <w:ilvl w:val="3"/>
          <w:numId w:val="6"/>
        </w:numPr>
      </w:pPr>
      <w:r w:rsidRPr="00E64C0F">
        <w:t>Montenegro undertook a number of recalculations for their current submission. The ERT commends Montenegro on this effort, however, descriptions have not been provided in enough detail (see the individual sectoral reports below). The ERT encourages Montenegro to provide additional detail on the rational</w:t>
      </w:r>
      <w:r w:rsidR="00D77CBB">
        <w:t>e</w:t>
      </w:r>
      <w:r w:rsidRPr="00E64C0F">
        <w:t xml:space="preserve"> for the recalculations as well as the impacts of the changes on the national </w:t>
      </w:r>
      <w:r>
        <w:t>totals</w:t>
      </w:r>
      <w:r w:rsidRPr="00E64C0F">
        <w:t xml:space="preserve"> and </w:t>
      </w:r>
      <w:r w:rsidR="00D77CBB" w:rsidRPr="00E64C0F">
        <w:t>time series</w:t>
      </w:r>
      <w:r w:rsidRPr="00E64C0F">
        <w:t xml:space="preserve"> in its future IIR submissions. The ERT further recommends Montenegro to ensure that the information on recalculations is updated in the IIR and that redundant text is removed.</w:t>
      </w:r>
    </w:p>
    <w:p w14:paraId="474CA375" w14:textId="3807D06D" w:rsidR="00E64C0F" w:rsidRPr="00E64C0F" w:rsidRDefault="00E64C0F" w:rsidP="007F5740">
      <w:pPr>
        <w:pStyle w:val="RegPara"/>
        <w:numPr>
          <w:ilvl w:val="3"/>
          <w:numId w:val="6"/>
        </w:numPr>
      </w:pPr>
      <w:r w:rsidRPr="00E64C0F">
        <w:t>The ERT noted that some of the time series are inconsistent. Montenegro has explained that the method to collect activity data has changed over the years and indicated an intent to amend these issues in the next submission. The ERT</w:t>
      </w:r>
      <w:r w:rsidR="00D77CBB">
        <w:t xml:space="preserve"> strongly </w:t>
      </w:r>
      <w:r w:rsidRPr="00E64C0F">
        <w:t>encourages Montenegro to improve the consistency of its time series in the next submission.</w:t>
      </w:r>
    </w:p>
    <w:p w14:paraId="0394A1D7" w14:textId="77777777" w:rsidR="00945281" w:rsidRDefault="00945281">
      <w:pPr>
        <w:pStyle w:val="berschrift3"/>
      </w:pPr>
      <w:bookmarkStart w:id="16" w:name="_Toc79490422"/>
      <w:r>
        <w:lastRenderedPageBreak/>
        <w:t>Comparability</w:t>
      </w:r>
      <w:bookmarkEnd w:id="16"/>
    </w:p>
    <w:p w14:paraId="23A89811" w14:textId="31CD5E6E" w:rsidR="0069677F" w:rsidRPr="0069677F" w:rsidRDefault="0069677F" w:rsidP="007F5740">
      <w:pPr>
        <w:pStyle w:val="RegPara"/>
        <w:numPr>
          <w:ilvl w:val="3"/>
          <w:numId w:val="6"/>
        </w:numPr>
      </w:pPr>
      <w:bookmarkStart w:id="17" w:name="_Toc198685447"/>
      <w:r w:rsidRPr="0069677F">
        <w:t xml:space="preserve">Montenegro did not provide updated information on methods and EF used in the IIR which hinders conducting a comparison with other Party’s submissions. During the review, Montenegro explained the methods and EF used </w:t>
      </w:r>
      <w:r>
        <w:t xml:space="preserve">are </w:t>
      </w:r>
      <w:r w:rsidRPr="0069677F">
        <w:t>based on the EMEP/EEA Guidebook 2019. However, the ERT noted several discrepancies between informatio</w:t>
      </w:r>
      <w:r w:rsidR="00D77CBB">
        <w:t>n in IIR and the Guidebook and,</w:t>
      </w:r>
      <w:r w:rsidRPr="0069677F">
        <w:t xml:space="preserve"> recommends Montenegro to ensure that updated information on methods and EFs used are provided in the next submission.</w:t>
      </w:r>
    </w:p>
    <w:p w14:paraId="59B62E06" w14:textId="77777777" w:rsidR="00945281" w:rsidRDefault="00945281">
      <w:pPr>
        <w:pStyle w:val="berschrift3"/>
      </w:pPr>
      <w:bookmarkStart w:id="18" w:name="_Toc79490423"/>
      <w:r>
        <w:t xml:space="preserve">Accuracy and </w:t>
      </w:r>
      <w:bookmarkEnd w:id="17"/>
      <w:r>
        <w:t>uncertainties</w:t>
      </w:r>
      <w:bookmarkEnd w:id="18"/>
    </w:p>
    <w:p w14:paraId="2D560B29" w14:textId="77777777" w:rsidR="002C4DB1" w:rsidRPr="002C4DB1" w:rsidRDefault="002C4DB1" w:rsidP="007F5740">
      <w:pPr>
        <w:pStyle w:val="RegPara"/>
        <w:numPr>
          <w:ilvl w:val="3"/>
          <w:numId w:val="6"/>
        </w:numPr>
      </w:pPr>
      <w:r w:rsidRPr="002C4DB1">
        <w:t xml:space="preserve">Montenegro compiled uncertainty estimates for IPPU and Solvents. The ERT commends Montenegro on its effort and encourages Montenegro to perform quantitative uncertainty analysis also for other sectors. </w:t>
      </w:r>
    </w:p>
    <w:p w14:paraId="2CAED2C8" w14:textId="77777777" w:rsidR="007E0348" w:rsidRDefault="00945281" w:rsidP="007E0348">
      <w:pPr>
        <w:pStyle w:val="berschrift3"/>
      </w:pPr>
      <w:bookmarkStart w:id="19" w:name="_Toc79490424"/>
      <w:r>
        <w:t>Verification and quality assurance/quality control approaches</w:t>
      </w:r>
      <w:bookmarkEnd w:id="19"/>
    </w:p>
    <w:p w14:paraId="04FD8388" w14:textId="0471C933" w:rsidR="002C4DB1" w:rsidRPr="002C4DB1" w:rsidRDefault="002C4DB1" w:rsidP="007F5740">
      <w:pPr>
        <w:pStyle w:val="RegPara"/>
        <w:numPr>
          <w:ilvl w:val="3"/>
          <w:numId w:val="6"/>
        </w:numPr>
      </w:pPr>
      <w:r w:rsidRPr="002C4DB1">
        <w:t xml:space="preserve">Montenegro refers to general as well as some source-specific </w:t>
      </w:r>
      <w:r w:rsidR="008D691E" w:rsidRPr="002C4DB1">
        <w:t xml:space="preserve">quality assurance/quality control </w:t>
      </w:r>
      <w:r w:rsidR="008D691E">
        <w:t>(</w:t>
      </w:r>
      <w:r w:rsidRPr="002C4DB1">
        <w:t>QA/QC</w:t>
      </w:r>
      <w:r w:rsidR="008D691E">
        <w:t>)</w:t>
      </w:r>
      <w:r w:rsidRPr="002C4DB1">
        <w:t xml:space="preserve"> checks. The ERT commends Montenegro on its QA/QC activities. However, the ERT noted several errors in the inventory (see sub-sector specific recommendations below) that suggests that further QA/QC checks are needed. The ERT encourages Montenegro to consult the EMEP/EEA Guidebook 2019 regarding the sector-specific OA/QC procedures to ensure accurate emission estimations and that the IIR is updated with relevant details regarding the QA/QC plan in the next submission. </w:t>
      </w:r>
    </w:p>
    <w:p w14:paraId="01664D62" w14:textId="77777777" w:rsidR="004036EA" w:rsidRDefault="004036EA" w:rsidP="00504173">
      <w:pPr>
        <w:pStyle w:val="berschrift3"/>
      </w:pPr>
      <w:bookmarkStart w:id="20" w:name="_Toc79490425"/>
      <w:r w:rsidRPr="008D691E">
        <w:t>Reporting of Condensable</w:t>
      </w:r>
      <w:bookmarkEnd w:id="20"/>
    </w:p>
    <w:p w14:paraId="457D3028" w14:textId="62A4D530" w:rsidR="004036EA" w:rsidRDefault="008D691E" w:rsidP="007F5740">
      <w:pPr>
        <w:pStyle w:val="RegPara"/>
      </w:pPr>
      <w:r w:rsidRPr="008D691E">
        <w:t>Montenegro does not provide explanatory information in the IIR of whether particle emissions include or exclude the condensable component. The ERT recommends Montenegro to include such information in the next submission following Annex II of the 2014 Reporting Guidelines.</w:t>
      </w:r>
    </w:p>
    <w:p w14:paraId="6EAD3DF4" w14:textId="77777777" w:rsidR="00945281" w:rsidRDefault="00945281">
      <w:pPr>
        <w:pStyle w:val="berschrift2"/>
      </w:pPr>
      <w:bookmarkStart w:id="21" w:name="_Toc79490426"/>
      <w:r>
        <w:t>Follow-up to previous reviews</w:t>
      </w:r>
      <w:bookmarkEnd w:id="21"/>
    </w:p>
    <w:p w14:paraId="7E3728B9" w14:textId="0ED2D0E2" w:rsidR="008D691E" w:rsidRPr="008D691E" w:rsidRDefault="008D691E" w:rsidP="007F5740">
      <w:pPr>
        <w:pStyle w:val="RegPara"/>
      </w:pPr>
      <w:bookmarkStart w:id="22" w:name="_Toc115774515"/>
      <w:bookmarkStart w:id="23" w:name="_Toc115774576"/>
      <w:bookmarkStart w:id="24" w:name="_Toc115774651"/>
      <w:bookmarkStart w:id="25" w:name="_Toc115775467"/>
      <w:bookmarkStart w:id="26" w:name="_Toc127771469"/>
      <w:bookmarkStart w:id="27" w:name="_Toc168979329"/>
      <w:r w:rsidRPr="008D691E">
        <w:t>Montenegro provided detailed responses to all questions identified in stage 2</w:t>
      </w:r>
      <w:r w:rsidR="00131AE3">
        <w:t xml:space="preserve"> review</w:t>
      </w:r>
      <w:r w:rsidRPr="008D691E">
        <w:t>. Due to the quality of the IIR and Montenegro’s responsiveness, the ERT were able to review the inventory in detail and provide a number of detailed recommendations.</w:t>
      </w:r>
    </w:p>
    <w:p w14:paraId="2FFA3125" w14:textId="56AA66B1" w:rsidR="00945281" w:rsidRDefault="00945281">
      <w:pPr>
        <w:pStyle w:val="berschrift2"/>
      </w:pPr>
      <w:bookmarkStart w:id="28" w:name="_Toc79490427"/>
      <w:r>
        <w:t xml:space="preserve">Areas for improvements identified by </w:t>
      </w:r>
      <w:r w:rsidR="00131AE3">
        <w:t>Montenegro</w:t>
      </w:r>
      <w:bookmarkEnd w:id="28"/>
    </w:p>
    <w:p w14:paraId="7F8790DC" w14:textId="1A88BAEB" w:rsidR="00FD60A7" w:rsidRDefault="00FD60A7" w:rsidP="007F5740">
      <w:pPr>
        <w:pStyle w:val="RegPara"/>
      </w:pPr>
      <w:r w:rsidRPr="00FD60A7">
        <w:t>In the IIR as well as in the review stages Montenegro identified several areas for improvement. These include:</w:t>
      </w:r>
    </w:p>
    <w:p w14:paraId="006654AC" w14:textId="36740D8C" w:rsidR="00FD60A7" w:rsidRPr="00FD60A7" w:rsidRDefault="00FD60A7" w:rsidP="00FD60A7">
      <w:pPr>
        <w:pStyle w:val="Listenabsatz"/>
        <w:numPr>
          <w:ilvl w:val="4"/>
          <w:numId w:val="1"/>
        </w:numPr>
        <w:jc w:val="both"/>
        <w:rPr>
          <w:sz w:val="22"/>
          <w:lang w:eastAsia="de-DE"/>
        </w:rPr>
      </w:pPr>
      <w:r w:rsidRPr="00FD60A7">
        <w:rPr>
          <w:sz w:val="22"/>
          <w:lang w:eastAsia="de-DE"/>
        </w:rPr>
        <w:t>Development of country-specific EF for SO</w:t>
      </w:r>
      <w:r w:rsidRPr="00FD60A7">
        <w:rPr>
          <w:sz w:val="22"/>
          <w:vertAlign w:val="subscript"/>
          <w:lang w:eastAsia="de-DE"/>
        </w:rPr>
        <w:t>2</w:t>
      </w:r>
      <w:r>
        <w:rPr>
          <w:sz w:val="22"/>
          <w:lang w:eastAsia="de-DE"/>
        </w:rPr>
        <w:t>;</w:t>
      </w:r>
    </w:p>
    <w:p w14:paraId="70CAFE1B" w14:textId="6F96D140" w:rsidR="00FD60A7" w:rsidRPr="00FD60A7" w:rsidRDefault="00FD60A7" w:rsidP="00FD60A7">
      <w:pPr>
        <w:pStyle w:val="Listenabsatz"/>
        <w:numPr>
          <w:ilvl w:val="4"/>
          <w:numId w:val="1"/>
        </w:numPr>
        <w:jc w:val="both"/>
        <w:rPr>
          <w:sz w:val="22"/>
          <w:lang w:eastAsia="de-DE"/>
        </w:rPr>
      </w:pPr>
      <w:r w:rsidRPr="00FD60A7">
        <w:rPr>
          <w:sz w:val="22"/>
          <w:lang w:eastAsia="de-DE"/>
        </w:rPr>
        <w:t xml:space="preserve">Development of new emission inventories for e.g. Waste with </w:t>
      </w:r>
      <w:r>
        <w:rPr>
          <w:sz w:val="22"/>
          <w:lang w:eastAsia="de-DE"/>
        </w:rPr>
        <w:t xml:space="preserve">the </w:t>
      </w:r>
      <w:r w:rsidRPr="00FD60A7">
        <w:rPr>
          <w:sz w:val="22"/>
          <w:lang w:eastAsia="de-DE"/>
        </w:rPr>
        <w:t>help of the twinning light project</w:t>
      </w:r>
      <w:r>
        <w:rPr>
          <w:sz w:val="22"/>
          <w:lang w:eastAsia="de-DE"/>
        </w:rPr>
        <w:t>;</w:t>
      </w:r>
    </w:p>
    <w:p w14:paraId="368357C8" w14:textId="78FE4E28" w:rsidR="00FD60A7" w:rsidRPr="00FD60A7" w:rsidRDefault="00FD60A7" w:rsidP="00FD60A7">
      <w:pPr>
        <w:pStyle w:val="Listenabsatz"/>
        <w:numPr>
          <w:ilvl w:val="4"/>
          <w:numId w:val="1"/>
        </w:numPr>
        <w:jc w:val="both"/>
        <w:rPr>
          <w:sz w:val="22"/>
          <w:lang w:eastAsia="de-DE"/>
        </w:rPr>
      </w:pPr>
      <w:r w:rsidRPr="00FD60A7">
        <w:rPr>
          <w:sz w:val="22"/>
          <w:lang w:eastAsia="de-DE"/>
        </w:rPr>
        <w:t>Accounting for abatement technologies</w:t>
      </w:r>
      <w:r>
        <w:rPr>
          <w:sz w:val="22"/>
          <w:lang w:eastAsia="de-DE"/>
        </w:rPr>
        <w:t xml:space="preserve"> within the agriculture sector when calculating emissions; </w:t>
      </w:r>
    </w:p>
    <w:p w14:paraId="67CB7330" w14:textId="2965AB6E" w:rsidR="00FD60A7" w:rsidRPr="00FD60A7" w:rsidRDefault="00FD60A7" w:rsidP="00FD60A7">
      <w:pPr>
        <w:pStyle w:val="Listenabsatz"/>
        <w:numPr>
          <w:ilvl w:val="4"/>
          <w:numId w:val="1"/>
        </w:numPr>
        <w:jc w:val="both"/>
        <w:rPr>
          <w:sz w:val="22"/>
          <w:lang w:eastAsia="de-DE"/>
        </w:rPr>
      </w:pPr>
      <w:r w:rsidRPr="00FD60A7">
        <w:rPr>
          <w:sz w:val="22"/>
          <w:lang w:eastAsia="de-DE"/>
        </w:rPr>
        <w:lastRenderedPageBreak/>
        <w:t xml:space="preserve">Using additional activity data and exploring new data sources by searching international sources or estimating </w:t>
      </w:r>
      <w:r w:rsidR="00771EA5">
        <w:rPr>
          <w:sz w:val="22"/>
          <w:lang w:eastAsia="de-DE"/>
        </w:rPr>
        <w:t>currently missing emissions</w:t>
      </w:r>
      <w:r w:rsidRPr="00FD60A7">
        <w:rPr>
          <w:sz w:val="22"/>
          <w:lang w:eastAsia="de-DE"/>
        </w:rPr>
        <w:t xml:space="preserve"> with the use of economic parameters</w:t>
      </w:r>
      <w:r>
        <w:rPr>
          <w:sz w:val="22"/>
          <w:lang w:eastAsia="de-DE"/>
        </w:rPr>
        <w:t>.</w:t>
      </w:r>
    </w:p>
    <w:p w14:paraId="6E0CB847" w14:textId="77777777" w:rsidR="00FD60A7" w:rsidRPr="00FD60A7" w:rsidRDefault="00FD60A7" w:rsidP="007F5740">
      <w:pPr>
        <w:pStyle w:val="RegPara"/>
      </w:pPr>
      <w:r w:rsidRPr="00FD60A7">
        <w:t xml:space="preserve">The ERT encourages the Party to implement planned improvements and report on the any changes in its next IIR. </w:t>
      </w:r>
    </w:p>
    <w:p w14:paraId="688D79A5" w14:textId="77777777" w:rsidR="00673F71" w:rsidRPr="00F267DD" w:rsidRDefault="00673F71" w:rsidP="00112A7C">
      <w:pPr>
        <w:pStyle w:val="berschrift2"/>
        <w:spacing w:line="276" w:lineRule="auto"/>
      </w:pPr>
      <w:bookmarkStart w:id="29" w:name="_Toc79490428"/>
      <w:bookmarkEnd w:id="22"/>
      <w:bookmarkEnd w:id="23"/>
      <w:bookmarkEnd w:id="24"/>
      <w:bookmarkEnd w:id="25"/>
      <w:bookmarkEnd w:id="26"/>
      <w:bookmarkEnd w:id="27"/>
      <w:r w:rsidRPr="00F267DD">
        <w:t xml:space="preserve">Technical corrections considered and or calculated by  </w:t>
      </w:r>
      <w:r w:rsidR="004976CC" w:rsidRPr="00F267DD">
        <w:t>ERT</w:t>
      </w:r>
      <w:bookmarkEnd w:id="29"/>
    </w:p>
    <w:p w14:paraId="066873D7" w14:textId="4B2BF1AD" w:rsidR="00771EA5" w:rsidRDefault="00771EA5" w:rsidP="007F5740">
      <w:pPr>
        <w:pStyle w:val="RegPara"/>
      </w:pPr>
      <w:r w:rsidRPr="2A9278A2">
        <w:t xml:space="preserve">The </w:t>
      </w:r>
      <w:r>
        <w:t>ERT</w:t>
      </w:r>
      <w:r w:rsidRPr="2A9278A2">
        <w:t xml:space="preserve"> identified </w:t>
      </w:r>
      <w:r>
        <w:t>several possible underestimates</w:t>
      </w:r>
      <w:r w:rsidRPr="2A9278A2">
        <w:t xml:space="preserve"> </w:t>
      </w:r>
      <w:r>
        <w:t xml:space="preserve">and proposed </w:t>
      </w:r>
      <w:r w:rsidRPr="2A9278A2">
        <w:t xml:space="preserve">technical corrections. </w:t>
      </w:r>
      <w:r w:rsidRPr="00A06443">
        <w:t xml:space="preserve">Montenegro provided revised estimates of which one (for NFR 2.K) was not accepted by the ERT, and the ERT prepared technical corrections. </w:t>
      </w:r>
      <w:r w:rsidRPr="00771EA5">
        <w:t>The ERT recommends that Montenegro applies the calculated technical corrections proposed by the ERT to the following potential underestimates, or that it develops other methods that more accurately correspond to the conditions prevailing in Montenegro, to the following potential underestimates for the whole time series in the next submission. For more detailed information go to sectoral chapters.</w:t>
      </w:r>
    </w:p>
    <w:p w14:paraId="6FE34C57" w14:textId="77777777" w:rsidR="00112A7C" w:rsidRDefault="00112A7C" w:rsidP="003377C8">
      <w:pPr>
        <w:pStyle w:val="RegHead3"/>
        <w:numPr>
          <w:ilvl w:val="0"/>
          <w:numId w:val="0"/>
        </w:numPr>
        <w:jc w:val="left"/>
      </w:pPr>
    </w:p>
    <w:p w14:paraId="5DF7BC36" w14:textId="29E1C13A" w:rsidR="00F76899" w:rsidRPr="00673F71" w:rsidRDefault="00F76899" w:rsidP="2A9278A2">
      <w:pPr>
        <w:pStyle w:val="Beschriftung"/>
        <w:rPr>
          <w:color w:val="365F91"/>
        </w:rPr>
      </w:pPr>
      <w:r w:rsidRPr="00F267DD">
        <w:t xml:space="preserve">Table </w:t>
      </w:r>
      <w:r w:rsidRPr="00F267DD">
        <w:fldChar w:fldCharType="begin"/>
      </w:r>
      <w:r w:rsidRPr="00F267DD">
        <w:instrText xml:space="preserve"> SEQ Table \* ARABIC </w:instrText>
      </w:r>
      <w:r w:rsidRPr="00F267DD">
        <w:fldChar w:fldCharType="separate"/>
      </w:r>
      <w:r w:rsidR="00AB3DE4">
        <w:rPr>
          <w:noProof/>
        </w:rPr>
        <w:t>1</w:t>
      </w:r>
      <w:r w:rsidRPr="00F267DD">
        <w:fldChar w:fldCharType="end"/>
      </w:r>
      <w:r w:rsidRPr="00F267DD">
        <w:t xml:space="preserve"> Summary of potential technical corrections identified by ERT for country</w:t>
      </w:r>
    </w:p>
    <w:tbl>
      <w:tblPr>
        <w:tblW w:w="8354" w:type="dxa"/>
        <w:tblLook w:val="04A0" w:firstRow="1" w:lastRow="0" w:firstColumn="1" w:lastColumn="0" w:noHBand="0" w:noVBand="1"/>
      </w:tblPr>
      <w:tblGrid>
        <w:gridCol w:w="1315"/>
        <w:gridCol w:w="1280"/>
        <w:gridCol w:w="1413"/>
        <w:gridCol w:w="1556"/>
        <w:gridCol w:w="2790"/>
      </w:tblGrid>
      <w:tr w:rsidR="00771EA5" w:rsidRPr="007C26FE" w14:paraId="2C045B72" w14:textId="77777777" w:rsidTr="003377C8">
        <w:trPr>
          <w:trHeight w:val="1215"/>
        </w:trPr>
        <w:tc>
          <w:tcPr>
            <w:tcW w:w="1315" w:type="dxa"/>
            <w:tcBorders>
              <w:top w:val="single" w:sz="8" w:space="0" w:color="auto"/>
              <w:left w:val="single" w:sz="8" w:space="0" w:color="auto"/>
              <w:bottom w:val="single" w:sz="8" w:space="0" w:color="auto"/>
              <w:right w:val="single" w:sz="4" w:space="0" w:color="auto"/>
            </w:tcBorders>
            <w:shd w:val="clear" w:color="auto" w:fill="C0C0C0"/>
            <w:noWrap/>
            <w:vAlign w:val="center"/>
            <w:hideMark/>
          </w:tcPr>
          <w:p w14:paraId="079D8D5D" w14:textId="77777777" w:rsidR="00771EA5" w:rsidRPr="007C26FE" w:rsidRDefault="00771EA5" w:rsidP="00112A7C">
            <w:pPr>
              <w:rPr>
                <w:b/>
                <w:bCs/>
                <w:color w:val="000000" w:themeColor="text1"/>
                <w:sz w:val="20"/>
                <w:lang w:val="en-US"/>
              </w:rPr>
            </w:pPr>
            <w:r w:rsidRPr="007C26FE">
              <w:rPr>
                <w:b/>
                <w:bCs/>
                <w:color w:val="000000" w:themeColor="text1"/>
                <w:sz w:val="20"/>
                <w:lang w:val="en-US"/>
              </w:rPr>
              <w:t>NFR category (s)</w:t>
            </w:r>
          </w:p>
        </w:tc>
        <w:tc>
          <w:tcPr>
            <w:tcW w:w="1280" w:type="dxa"/>
            <w:tcBorders>
              <w:top w:val="single" w:sz="8" w:space="0" w:color="auto"/>
              <w:left w:val="nil"/>
              <w:bottom w:val="single" w:sz="8" w:space="0" w:color="auto"/>
              <w:right w:val="single" w:sz="4" w:space="0" w:color="auto"/>
            </w:tcBorders>
            <w:shd w:val="clear" w:color="auto" w:fill="C0C0C0"/>
            <w:noWrap/>
            <w:vAlign w:val="center"/>
            <w:hideMark/>
          </w:tcPr>
          <w:p w14:paraId="4244DBA9" w14:textId="77777777" w:rsidR="00771EA5" w:rsidRPr="007C26FE" w:rsidRDefault="00771EA5" w:rsidP="00112A7C">
            <w:pPr>
              <w:rPr>
                <w:b/>
                <w:bCs/>
                <w:color w:val="000000" w:themeColor="text1"/>
                <w:sz w:val="20"/>
                <w:lang w:val="en-US"/>
              </w:rPr>
            </w:pPr>
            <w:r w:rsidRPr="007C26FE">
              <w:rPr>
                <w:b/>
                <w:bCs/>
                <w:color w:val="000000" w:themeColor="text1"/>
                <w:sz w:val="20"/>
                <w:lang w:val="en-US"/>
              </w:rPr>
              <w:t xml:space="preserve">Pollutants </w:t>
            </w:r>
          </w:p>
        </w:tc>
        <w:tc>
          <w:tcPr>
            <w:tcW w:w="1413" w:type="dxa"/>
            <w:tcBorders>
              <w:top w:val="single" w:sz="8" w:space="0" w:color="auto"/>
              <w:left w:val="nil"/>
              <w:bottom w:val="single" w:sz="8" w:space="0" w:color="auto"/>
              <w:right w:val="single" w:sz="4" w:space="0" w:color="auto"/>
            </w:tcBorders>
            <w:shd w:val="clear" w:color="auto" w:fill="C0C0C0"/>
            <w:noWrap/>
            <w:vAlign w:val="center"/>
            <w:hideMark/>
          </w:tcPr>
          <w:p w14:paraId="66ABC90B" w14:textId="77777777" w:rsidR="00771EA5" w:rsidRPr="007C26FE" w:rsidRDefault="00771EA5" w:rsidP="00112A7C">
            <w:pPr>
              <w:rPr>
                <w:b/>
                <w:bCs/>
                <w:color w:val="000000" w:themeColor="text1"/>
                <w:sz w:val="20"/>
                <w:lang w:val="en-US"/>
              </w:rPr>
            </w:pPr>
            <w:r w:rsidRPr="007C26FE">
              <w:rPr>
                <w:b/>
                <w:bCs/>
                <w:color w:val="000000" w:themeColor="text1"/>
                <w:sz w:val="20"/>
                <w:lang w:val="en-US"/>
              </w:rPr>
              <w:t>Years</w:t>
            </w:r>
          </w:p>
        </w:tc>
        <w:tc>
          <w:tcPr>
            <w:tcW w:w="1556" w:type="dxa"/>
            <w:tcBorders>
              <w:top w:val="single" w:sz="8" w:space="0" w:color="auto"/>
              <w:left w:val="nil"/>
              <w:bottom w:val="single" w:sz="8" w:space="0" w:color="auto"/>
              <w:right w:val="single" w:sz="4" w:space="0" w:color="auto"/>
            </w:tcBorders>
            <w:shd w:val="clear" w:color="auto" w:fill="C0C0C0"/>
            <w:vAlign w:val="center"/>
            <w:hideMark/>
          </w:tcPr>
          <w:p w14:paraId="674CA55A" w14:textId="05217D4B" w:rsidR="00771EA5" w:rsidRPr="007C26FE" w:rsidRDefault="00771EA5" w:rsidP="00112A7C">
            <w:pPr>
              <w:rPr>
                <w:b/>
                <w:bCs/>
                <w:color w:val="000000" w:themeColor="text1"/>
                <w:sz w:val="20"/>
                <w:lang w:val="en-US"/>
              </w:rPr>
            </w:pPr>
            <w:r w:rsidRPr="007C26FE">
              <w:rPr>
                <w:b/>
                <w:bCs/>
                <w:color w:val="000000" w:themeColor="text1"/>
                <w:sz w:val="20"/>
                <w:lang w:val="en-US"/>
              </w:rPr>
              <w:t xml:space="preserve">Calculated by country/ Calculated by ERT/ Not calculated </w:t>
            </w:r>
          </w:p>
        </w:tc>
        <w:tc>
          <w:tcPr>
            <w:tcW w:w="2790" w:type="dxa"/>
            <w:tcBorders>
              <w:top w:val="single" w:sz="8" w:space="0" w:color="auto"/>
              <w:left w:val="nil"/>
              <w:bottom w:val="single" w:sz="8" w:space="0" w:color="auto"/>
              <w:right w:val="single" w:sz="8" w:space="0" w:color="auto"/>
            </w:tcBorders>
            <w:shd w:val="clear" w:color="auto" w:fill="C0C0C0"/>
            <w:vAlign w:val="center"/>
            <w:hideMark/>
          </w:tcPr>
          <w:p w14:paraId="02705F4A" w14:textId="77777777" w:rsidR="00771EA5" w:rsidRPr="007C26FE" w:rsidRDefault="00771EA5" w:rsidP="00112A7C">
            <w:pPr>
              <w:rPr>
                <w:b/>
                <w:bCs/>
                <w:color w:val="000000" w:themeColor="text1"/>
                <w:sz w:val="20"/>
                <w:lang w:val="en-US"/>
              </w:rPr>
            </w:pPr>
            <w:r w:rsidRPr="007C26FE">
              <w:rPr>
                <w:b/>
                <w:bCs/>
                <w:color w:val="000000" w:themeColor="text1"/>
                <w:sz w:val="20"/>
                <w:lang w:val="en-US"/>
              </w:rPr>
              <w:t>Potential contribution to national total (%)</w:t>
            </w:r>
          </w:p>
        </w:tc>
      </w:tr>
      <w:tr w:rsidR="00771EA5" w:rsidRPr="007C26FE" w14:paraId="4E04B98D" w14:textId="77777777" w:rsidTr="003377C8">
        <w:trPr>
          <w:trHeight w:val="300"/>
        </w:trPr>
        <w:tc>
          <w:tcPr>
            <w:tcW w:w="1315" w:type="dxa"/>
            <w:tcBorders>
              <w:top w:val="nil"/>
              <w:left w:val="single" w:sz="8" w:space="0" w:color="auto"/>
              <w:bottom w:val="single" w:sz="4" w:space="0" w:color="auto"/>
              <w:right w:val="single" w:sz="4" w:space="0" w:color="auto"/>
            </w:tcBorders>
            <w:shd w:val="clear" w:color="auto" w:fill="auto"/>
            <w:noWrap/>
            <w:hideMark/>
          </w:tcPr>
          <w:p w14:paraId="3E34FBC9" w14:textId="77777777" w:rsidR="00771EA5" w:rsidRPr="007C26FE" w:rsidRDefault="00771EA5" w:rsidP="00112A7C">
            <w:pPr>
              <w:rPr>
                <w:color w:val="000000" w:themeColor="text1"/>
                <w:sz w:val="20"/>
                <w:lang w:val="en-US"/>
              </w:rPr>
            </w:pPr>
            <w:r w:rsidRPr="007C26FE">
              <w:rPr>
                <w:sz w:val="20"/>
                <w:lang w:val="de"/>
              </w:rPr>
              <w:t>2.K</w:t>
            </w:r>
          </w:p>
        </w:tc>
        <w:tc>
          <w:tcPr>
            <w:tcW w:w="1280" w:type="dxa"/>
            <w:tcBorders>
              <w:top w:val="nil"/>
              <w:left w:val="nil"/>
              <w:bottom w:val="single" w:sz="4" w:space="0" w:color="auto"/>
              <w:right w:val="single" w:sz="4" w:space="0" w:color="auto"/>
            </w:tcBorders>
            <w:shd w:val="clear" w:color="auto" w:fill="auto"/>
            <w:noWrap/>
            <w:hideMark/>
          </w:tcPr>
          <w:p w14:paraId="11AC108F" w14:textId="77777777" w:rsidR="00771EA5" w:rsidRPr="007C26FE" w:rsidRDefault="00771EA5" w:rsidP="00112A7C">
            <w:pPr>
              <w:rPr>
                <w:color w:val="000000" w:themeColor="text1"/>
                <w:sz w:val="20"/>
                <w:lang w:val="en-US"/>
              </w:rPr>
            </w:pPr>
            <w:r w:rsidRPr="007C26FE">
              <w:rPr>
                <w:sz w:val="20"/>
                <w:lang w:val="de"/>
              </w:rPr>
              <w:t>Hg</w:t>
            </w:r>
          </w:p>
        </w:tc>
        <w:tc>
          <w:tcPr>
            <w:tcW w:w="1413" w:type="dxa"/>
            <w:tcBorders>
              <w:top w:val="nil"/>
              <w:left w:val="nil"/>
              <w:bottom w:val="single" w:sz="4" w:space="0" w:color="auto"/>
              <w:right w:val="single" w:sz="4" w:space="0" w:color="auto"/>
            </w:tcBorders>
            <w:shd w:val="clear" w:color="auto" w:fill="auto"/>
            <w:noWrap/>
            <w:hideMark/>
          </w:tcPr>
          <w:p w14:paraId="1103FCD1" w14:textId="77777777" w:rsidR="00771EA5" w:rsidRPr="007C26FE" w:rsidRDefault="00771EA5" w:rsidP="00112A7C">
            <w:pPr>
              <w:rPr>
                <w:color w:val="000000" w:themeColor="text1"/>
                <w:sz w:val="20"/>
                <w:lang w:val="en-US"/>
              </w:rPr>
            </w:pPr>
            <w:r w:rsidRPr="007C26FE">
              <w:rPr>
                <w:sz w:val="20"/>
                <w:lang w:val="de"/>
              </w:rPr>
              <w:t>2005, 2010, 2019</w:t>
            </w:r>
          </w:p>
        </w:tc>
        <w:tc>
          <w:tcPr>
            <w:tcW w:w="1556" w:type="dxa"/>
            <w:tcBorders>
              <w:top w:val="nil"/>
              <w:left w:val="nil"/>
              <w:bottom w:val="single" w:sz="4" w:space="0" w:color="auto"/>
              <w:right w:val="single" w:sz="4" w:space="0" w:color="auto"/>
            </w:tcBorders>
            <w:shd w:val="clear" w:color="auto" w:fill="auto"/>
            <w:noWrap/>
            <w:hideMark/>
          </w:tcPr>
          <w:p w14:paraId="6106A09C" w14:textId="77777777" w:rsidR="00771EA5" w:rsidRPr="007C26FE" w:rsidRDefault="00771EA5" w:rsidP="00112A7C">
            <w:pPr>
              <w:rPr>
                <w:color w:val="000000" w:themeColor="text1"/>
                <w:sz w:val="20"/>
                <w:lang w:val="en-US"/>
              </w:rPr>
            </w:pPr>
            <w:r w:rsidRPr="007C26FE">
              <w:rPr>
                <w:sz w:val="20"/>
              </w:rPr>
              <w:t>ERT</w:t>
            </w:r>
          </w:p>
        </w:tc>
        <w:tc>
          <w:tcPr>
            <w:tcW w:w="2790" w:type="dxa"/>
            <w:tcBorders>
              <w:top w:val="nil"/>
              <w:left w:val="nil"/>
              <w:bottom w:val="single" w:sz="4" w:space="0" w:color="auto"/>
              <w:right w:val="single" w:sz="8" w:space="0" w:color="auto"/>
            </w:tcBorders>
            <w:shd w:val="clear" w:color="auto" w:fill="auto"/>
            <w:noWrap/>
            <w:hideMark/>
          </w:tcPr>
          <w:p w14:paraId="564C73D6" w14:textId="77777777" w:rsidR="00771EA5" w:rsidRPr="007C26FE" w:rsidRDefault="00771EA5" w:rsidP="00112A7C">
            <w:pPr>
              <w:rPr>
                <w:color w:val="000000" w:themeColor="text1"/>
                <w:sz w:val="20"/>
                <w:lang w:val="en-US"/>
              </w:rPr>
            </w:pPr>
            <w:r w:rsidRPr="007C26FE">
              <w:rPr>
                <w:sz w:val="20"/>
                <w:lang w:val="de"/>
              </w:rPr>
              <w:t>+11.3% (2019), +9.2% (2010), +12.2% (2005)</w:t>
            </w:r>
          </w:p>
        </w:tc>
      </w:tr>
      <w:tr w:rsidR="00771EA5" w:rsidRPr="007C26FE" w14:paraId="55545729" w14:textId="77777777" w:rsidTr="003377C8">
        <w:trPr>
          <w:trHeight w:val="300"/>
        </w:trPr>
        <w:tc>
          <w:tcPr>
            <w:tcW w:w="1315" w:type="dxa"/>
            <w:tcBorders>
              <w:top w:val="nil"/>
              <w:left w:val="single" w:sz="8" w:space="0" w:color="auto"/>
              <w:bottom w:val="single" w:sz="4" w:space="0" w:color="auto"/>
              <w:right w:val="single" w:sz="4" w:space="0" w:color="auto"/>
            </w:tcBorders>
            <w:shd w:val="clear" w:color="auto" w:fill="auto"/>
            <w:noWrap/>
            <w:hideMark/>
          </w:tcPr>
          <w:p w14:paraId="264F23C6" w14:textId="77777777" w:rsidR="00771EA5" w:rsidRPr="007C26FE" w:rsidRDefault="00771EA5" w:rsidP="00112A7C">
            <w:pPr>
              <w:rPr>
                <w:color w:val="000000" w:themeColor="text1"/>
                <w:sz w:val="20"/>
                <w:lang w:val="en-US"/>
              </w:rPr>
            </w:pPr>
            <w:r w:rsidRPr="007C26FE">
              <w:rPr>
                <w:sz w:val="20"/>
                <w:lang w:val="de"/>
              </w:rPr>
              <w:t>2.K</w:t>
            </w:r>
          </w:p>
        </w:tc>
        <w:tc>
          <w:tcPr>
            <w:tcW w:w="1280" w:type="dxa"/>
            <w:tcBorders>
              <w:top w:val="nil"/>
              <w:left w:val="nil"/>
              <w:bottom w:val="single" w:sz="4" w:space="0" w:color="auto"/>
              <w:right w:val="single" w:sz="4" w:space="0" w:color="auto"/>
            </w:tcBorders>
            <w:shd w:val="clear" w:color="auto" w:fill="auto"/>
            <w:noWrap/>
            <w:hideMark/>
          </w:tcPr>
          <w:p w14:paraId="451C3CB2" w14:textId="77777777" w:rsidR="00771EA5" w:rsidRPr="007C26FE" w:rsidRDefault="00771EA5" w:rsidP="00112A7C">
            <w:pPr>
              <w:rPr>
                <w:color w:val="000000" w:themeColor="text1"/>
                <w:sz w:val="20"/>
                <w:lang w:val="en-US"/>
              </w:rPr>
            </w:pPr>
            <w:r w:rsidRPr="007C26FE">
              <w:rPr>
                <w:sz w:val="20"/>
                <w:lang w:val="de"/>
              </w:rPr>
              <w:t>PCBs</w:t>
            </w:r>
          </w:p>
        </w:tc>
        <w:tc>
          <w:tcPr>
            <w:tcW w:w="1413" w:type="dxa"/>
            <w:tcBorders>
              <w:top w:val="nil"/>
              <w:left w:val="nil"/>
              <w:bottom w:val="single" w:sz="4" w:space="0" w:color="auto"/>
              <w:right w:val="single" w:sz="4" w:space="0" w:color="auto"/>
            </w:tcBorders>
            <w:shd w:val="clear" w:color="auto" w:fill="auto"/>
            <w:noWrap/>
            <w:hideMark/>
          </w:tcPr>
          <w:p w14:paraId="6751435E" w14:textId="77777777" w:rsidR="00771EA5" w:rsidRPr="007C26FE" w:rsidRDefault="00771EA5" w:rsidP="00112A7C">
            <w:pPr>
              <w:rPr>
                <w:color w:val="000000" w:themeColor="text1"/>
                <w:sz w:val="20"/>
                <w:lang w:val="en-US"/>
              </w:rPr>
            </w:pPr>
            <w:r w:rsidRPr="007C26FE">
              <w:rPr>
                <w:sz w:val="20"/>
                <w:lang w:val="de"/>
              </w:rPr>
              <w:t>2005, 2010, 2019</w:t>
            </w:r>
          </w:p>
        </w:tc>
        <w:tc>
          <w:tcPr>
            <w:tcW w:w="1556" w:type="dxa"/>
            <w:tcBorders>
              <w:top w:val="nil"/>
              <w:left w:val="nil"/>
              <w:bottom w:val="single" w:sz="4" w:space="0" w:color="auto"/>
              <w:right w:val="single" w:sz="4" w:space="0" w:color="auto"/>
            </w:tcBorders>
            <w:shd w:val="clear" w:color="auto" w:fill="auto"/>
            <w:noWrap/>
            <w:hideMark/>
          </w:tcPr>
          <w:p w14:paraId="33924AA9" w14:textId="77777777" w:rsidR="00771EA5" w:rsidRPr="007C26FE" w:rsidRDefault="00771EA5" w:rsidP="00112A7C">
            <w:pPr>
              <w:rPr>
                <w:color w:val="000000" w:themeColor="text1"/>
                <w:sz w:val="20"/>
                <w:lang w:val="en-US"/>
              </w:rPr>
            </w:pPr>
            <w:r w:rsidRPr="007C26FE">
              <w:rPr>
                <w:sz w:val="20"/>
              </w:rPr>
              <w:t>ERT</w:t>
            </w:r>
          </w:p>
        </w:tc>
        <w:tc>
          <w:tcPr>
            <w:tcW w:w="2790" w:type="dxa"/>
            <w:tcBorders>
              <w:top w:val="nil"/>
              <w:left w:val="nil"/>
              <w:bottom w:val="single" w:sz="4" w:space="0" w:color="auto"/>
              <w:right w:val="single" w:sz="8" w:space="0" w:color="auto"/>
            </w:tcBorders>
            <w:shd w:val="clear" w:color="auto" w:fill="auto"/>
            <w:noWrap/>
            <w:hideMark/>
          </w:tcPr>
          <w:p w14:paraId="0E470340" w14:textId="77777777" w:rsidR="00771EA5" w:rsidRPr="007C26FE" w:rsidRDefault="00771EA5" w:rsidP="00112A7C">
            <w:pPr>
              <w:rPr>
                <w:color w:val="000000" w:themeColor="text1"/>
                <w:sz w:val="20"/>
                <w:lang w:val="en-US"/>
              </w:rPr>
            </w:pPr>
            <w:r w:rsidRPr="007C26FE">
              <w:rPr>
                <w:sz w:val="20"/>
                <w:lang w:val="de"/>
              </w:rPr>
              <w:t>+99.9% (2019), +99.9% (2010), +99.9% (2005)</w:t>
            </w:r>
          </w:p>
        </w:tc>
      </w:tr>
      <w:tr w:rsidR="00771EA5" w:rsidRPr="007C26FE" w14:paraId="31F24786" w14:textId="77777777" w:rsidTr="003377C8">
        <w:trPr>
          <w:trHeight w:val="300"/>
        </w:trPr>
        <w:tc>
          <w:tcPr>
            <w:tcW w:w="1315" w:type="dxa"/>
            <w:tcBorders>
              <w:top w:val="nil"/>
              <w:left w:val="single" w:sz="8" w:space="0" w:color="auto"/>
              <w:bottom w:val="single" w:sz="4" w:space="0" w:color="auto"/>
              <w:right w:val="single" w:sz="4" w:space="0" w:color="auto"/>
            </w:tcBorders>
            <w:shd w:val="clear" w:color="auto" w:fill="auto"/>
            <w:noWrap/>
            <w:hideMark/>
          </w:tcPr>
          <w:p w14:paraId="1FA0A07B" w14:textId="77777777" w:rsidR="00771EA5" w:rsidRPr="007C26FE" w:rsidRDefault="00771EA5" w:rsidP="00112A7C">
            <w:pPr>
              <w:rPr>
                <w:color w:val="000000" w:themeColor="text1"/>
                <w:sz w:val="20"/>
                <w:lang w:val="en-US"/>
              </w:rPr>
            </w:pPr>
            <w:r w:rsidRPr="007C26FE">
              <w:rPr>
                <w:sz w:val="20"/>
                <w:lang w:val="de"/>
              </w:rPr>
              <w:t>2.D.3.b</w:t>
            </w:r>
          </w:p>
        </w:tc>
        <w:tc>
          <w:tcPr>
            <w:tcW w:w="1280" w:type="dxa"/>
            <w:tcBorders>
              <w:top w:val="nil"/>
              <w:left w:val="nil"/>
              <w:bottom w:val="single" w:sz="4" w:space="0" w:color="auto"/>
              <w:right w:val="single" w:sz="4" w:space="0" w:color="auto"/>
            </w:tcBorders>
            <w:shd w:val="clear" w:color="auto" w:fill="auto"/>
            <w:noWrap/>
            <w:hideMark/>
          </w:tcPr>
          <w:p w14:paraId="70394754" w14:textId="77777777" w:rsidR="00771EA5" w:rsidRPr="007C26FE" w:rsidRDefault="00771EA5" w:rsidP="00112A7C">
            <w:pPr>
              <w:rPr>
                <w:color w:val="000000" w:themeColor="text1"/>
                <w:sz w:val="20"/>
                <w:lang w:val="en-US"/>
              </w:rPr>
            </w:pPr>
            <w:r w:rsidRPr="007C26FE">
              <w:rPr>
                <w:sz w:val="20"/>
                <w:lang w:val="de"/>
              </w:rPr>
              <w:t>NMVOC</w:t>
            </w:r>
          </w:p>
        </w:tc>
        <w:tc>
          <w:tcPr>
            <w:tcW w:w="1413" w:type="dxa"/>
            <w:tcBorders>
              <w:top w:val="nil"/>
              <w:left w:val="nil"/>
              <w:bottom w:val="single" w:sz="4" w:space="0" w:color="auto"/>
              <w:right w:val="single" w:sz="4" w:space="0" w:color="auto"/>
            </w:tcBorders>
            <w:shd w:val="clear" w:color="auto" w:fill="auto"/>
            <w:noWrap/>
            <w:hideMark/>
          </w:tcPr>
          <w:p w14:paraId="607247A4" w14:textId="77777777" w:rsidR="00771EA5" w:rsidRPr="007C26FE" w:rsidRDefault="00771EA5" w:rsidP="00112A7C">
            <w:pPr>
              <w:rPr>
                <w:color w:val="000000" w:themeColor="text1"/>
                <w:sz w:val="20"/>
                <w:lang w:val="en-US"/>
              </w:rPr>
            </w:pPr>
            <w:r w:rsidRPr="007C26FE">
              <w:rPr>
                <w:sz w:val="20"/>
                <w:lang w:val="de"/>
              </w:rPr>
              <w:t>2005, 2010, 2019</w:t>
            </w:r>
          </w:p>
        </w:tc>
        <w:tc>
          <w:tcPr>
            <w:tcW w:w="1556" w:type="dxa"/>
            <w:tcBorders>
              <w:top w:val="nil"/>
              <w:left w:val="nil"/>
              <w:bottom w:val="single" w:sz="4" w:space="0" w:color="auto"/>
              <w:right w:val="single" w:sz="4" w:space="0" w:color="auto"/>
            </w:tcBorders>
            <w:shd w:val="clear" w:color="auto" w:fill="auto"/>
            <w:noWrap/>
            <w:hideMark/>
          </w:tcPr>
          <w:p w14:paraId="1B334E99" w14:textId="77777777" w:rsidR="00771EA5" w:rsidRPr="007C26FE" w:rsidRDefault="00771EA5" w:rsidP="00112A7C">
            <w:pPr>
              <w:rPr>
                <w:color w:val="000000" w:themeColor="text1"/>
                <w:sz w:val="20"/>
                <w:lang w:val="en-US"/>
              </w:rPr>
            </w:pPr>
            <w:r w:rsidRPr="007C26FE">
              <w:rPr>
                <w:sz w:val="20"/>
              </w:rPr>
              <w:t>Montenegro</w:t>
            </w:r>
          </w:p>
        </w:tc>
        <w:tc>
          <w:tcPr>
            <w:tcW w:w="2790" w:type="dxa"/>
            <w:tcBorders>
              <w:top w:val="nil"/>
              <w:left w:val="nil"/>
              <w:bottom w:val="single" w:sz="4" w:space="0" w:color="auto"/>
              <w:right w:val="single" w:sz="8" w:space="0" w:color="auto"/>
            </w:tcBorders>
            <w:shd w:val="clear" w:color="auto" w:fill="auto"/>
            <w:noWrap/>
            <w:hideMark/>
          </w:tcPr>
          <w:p w14:paraId="1A5B0C44" w14:textId="77777777" w:rsidR="00771EA5" w:rsidRPr="007C26FE" w:rsidRDefault="00771EA5" w:rsidP="00112A7C">
            <w:pPr>
              <w:rPr>
                <w:color w:val="000000" w:themeColor="text1"/>
                <w:sz w:val="20"/>
                <w:lang w:val="en-US"/>
              </w:rPr>
            </w:pPr>
            <w:r w:rsidRPr="007C26FE">
              <w:rPr>
                <w:sz w:val="20"/>
                <w:lang w:val="de"/>
              </w:rPr>
              <w:t>+0.04% (2019), +0.05% (2010), +0.01% (2005)</w:t>
            </w:r>
          </w:p>
        </w:tc>
      </w:tr>
      <w:tr w:rsidR="00771EA5" w:rsidRPr="007C26FE" w14:paraId="7E783BDF" w14:textId="77777777" w:rsidTr="003377C8">
        <w:trPr>
          <w:trHeight w:val="300"/>
        </w:trPr>
        <w:tc>
          <w:tcPr>
            <w:tcW w:w="1315" w:type="dxa"/>
            <w:tcBorders>
              <w:top w:val="nil"/>
              <w:left w:val="single" w:sz="8" w:space="0" w:color="auto"/>
              <w:bottom w:val="single" w:sz="4" w:space="0" w:color="auto"/>
              <w:right w:val="single" w:sz="4" w:space="0" w:color="auto"/>
            </w:tcBorders>
            <w:shd w:val="clear" w:color="auto" w:fill="auto"/>
            <w:noWrap/>
            <w:hideMark/>
          </w:tcPr>
          <w:p w14:paraId="36AEA9B6" w14:textId="77777777" w:rsidR="00771EA5" w:rsidRPr="007C26FE" w:rsidRDefault="00771EA5" w:rsidP="00112A7C">
            <w:pPr>
              <w:rPr>
                <w:color w:val="000000" w:themeColor="text1"/>
                <w:sz w:val="20"/>
                <w:lang w:val="en-US"/>
              </w:rPr>
            </w:pPr>
            <w:r w:rsidRPr="007C26FE">
              <w:rPr>
                <w:sz w:val="20"/>
                <w:lang w:val="de"/>
              </w:rPr>
              <w:t>2.D.3.b</w:t>
            </w:r>
          </w:p>
        </w:tc>
        <w:tc>
          <w:tcPr>
            <w:tcW w:w="1280" w:type="dxa"/>
            <w:tcBorders>
              <w:top w:val="nil"/>
              <w:left w:val="nil"/>
              <w:bottom w:val="single" w:sz="4" w:space="0" w:color="auto"/>
              <w:right w:val="single" w:sz="4" w:space="0" w:color="auto"/>
            </w:tcBorders>
            <w:shd w:val="clear" w:color="auto" w:fill="auto"/>
            <w:noWrap/>
            <w:hideMark/>
          </w:tcPr>
          <w:p w14:paraId="65B17046" w14:textId="77777777" w:rsidR="00771EA5" w:rsidRPr="007C26FE" w:rsidRDefault="00771EA5" w:rsidP="00112A7C">
            <w:pPr>
              <w:rPr>
                <w:color w:val="000000" w:themeColor="text1"/>
                <w:sz w:val="20"/>
                <w:lang w:val="en-US"/>
              </w:rPr>
            </w:pPr>
            <w:r w:rsidRPr="007C26FE">
              <w:rPr>
                <w:sz w:val="20"/>
                <w:lang w:val="de"/>
              </w:rPr>
              <w:t>TSP</w:t>
            </w:r>
          </w:p>
        </w:tc>
        <w:tc>
          <w:tcPr>
            <w:tcW w:w="1413" w:type="dxa"/>
            <w:tcBorders>
              <w:top w:val="nil"/>
              <w:left w:val="nil"/>
              <w:bottom w:val="single" w:sz="4" w:space="0" w:color="auto"/>
              <w:right w:val="single" w:sz="4" w:space="0" w:color="auto"/>
            </w:tcBorders>
            <w:shd w:val="clear" w:color="auto" w:fill="auto"/>
            <w:noWrap/>
            <w:hideMark/>
          </w:tcPr>
          <w:p w14:paraId="632D205E" w14:textId="77777777" w:rsidR="00771EA5" w:rsidRPr="007C26FE" w:rsidRDefault="00771EA5" w:rsidP="00112A7C">
            <w:pPr>
              <w:rPr>
                <w:color w:val="000000" w:themeColor="text1"/>
                <w:sz w:val="20"/>
                <w:lang w:val="en-US"/>
              </w:rPr>
            </w:pPr>
            <w:r w:rsidRPr="007C26FE">
              <w:rPr>
                <w:sz w:val="20"/>
                <w:lang w:val="de"/>
              </w:rPr>
              <w:t>2005, 2010, 2019</w:t>
            </w:r>
          </w:p>
        </w:tc>
        <w:tc>
          <w:tcPr>
            <w:tcW w:w="1556" w:type="dxa"/>
            <w:tcBorders>
              <w:top w:val="nil"/>
              <w:left w:val="nil"/>
              <w:bottom w:val="single" w:sz="4" w:space="0" w:color="auto"/>
              <w:right w:val="single" w:sz="4" w:space="0" w:color="auto"/>
            </w:tcBorders>
            <w:shd w:val="clear" w:color="auto" w:fill="auto"/>
            <w:noWrap/>
            <w:hideMark/>
          </w:tcPr>
          <w:p w14:paraId="553FA86A" w14:textId="77777777" w:rsidR="00771EA5" w:rsidRPr="007C26FE" w:rsidRDefault="00771EA5" w:rsidP="00112A7C">
            <w:pPr>
              <w:rPr>
                <w:color w:val="000000" w:themeColor="text1"/>
                <w:sz w:val="20"/>
                <w:lang w:val="en-US"/>
              </w:rPr>
            </w:pPr>
            <w:r w:rsidRPr="007C26FE">
              <w:rPr>
                <w:sz w:val="20"/>
              </w:rPr>
              <w:t>Montenegro</w:t>
            </w:r>
          </w:p>
        </w:tc>
        <w:tc>
          <w:tcPr>
            <w:tcW w:w="2790" w:type="dxa"/>
            <w:tcBorders>
              <w:top w:val="nil"/>
              <w:left w:val="nil"/>
              <w:bottom w:val="single" w:sz="4" w:space="0" w:color="auto"/>
              <w:right w:val="single" w:sz="8" w:space="0" w:color="auto"/>
            </w:tcBorders>
            <w:shd w:val="clear" w:color="auto" w:fill="auto"/>
            <w:noWrap/>
            <w:hideMark/>
          </w:tcPr>
          <w:p w14:paraId="062CC46D" w14:textId="77777777" w:rsidR="00771EA5" w:rsidRPr="007C26FE" w:rsidRDefault="00771EA5" w:rsidP="00112A7C">
            <w:pPr>
              <w:rPr>
                <w:color w:val="000000" w:themeColor="text1"/>
                <w:sz w:val="20"/>
                <w:lang w:val="en-US"/>
              </w:rPr>
            </w:pPr>
            <w:r w:rsidRPr="007C26FE">
              <w:rPr>
                <w:sz w:val="20"/>
                <w:lang w:val="de"/>
              </w:rPr>
              <w:t>+34.9% (2019), +38% (2010), +6.2% (2005)</w:t>
            </w:r>
          </w:p>
        </w:tc>
      </w:tr>
      <w:tr w:rsidR="00771EA5" w:rsidRPr="007C26FE" w14:paraId="4E91EF26" w14:textId="77777777" w:rsidTr="003377C8">
        <w:trPr>
          <w:trHeight w:val="300"/>
        </w:trPr>
        <w:tc>
          <w:tcPr>
            <w:tcW w:w="1315" w:type="dxa"/>
            <w:tcBorders>
              <w:top w:val="nil"/>
              <w:left w:val="single" w:sz="8" w:space="0" w:color="auto"/>
              <w:bottom w:val="single" w:sz="4" w:space="0" w:color="auto"/>
              <w:right w:val="single" w:sz="4" w:space="0" w:color="auto"/>
            </w:tcBorders>
            <w:shd w:val="clear" w:color="auto" w:fill="auto"/>
            <w:noWrap/>
            <w:hideMark/>
          </w:tcPr>
          <w:p w14:paraId="659DD5A4" w14:textId="77777777" w:rsidR="00771EA5" w:rsidRPr="007C26FE" w:rsidRDefault="00771EA5" w:rsidP="00112A7C">
            <w:pPr>
              <w:rPr>
                <w:color w:val="000000" w:themeColor="text1"/>
                <w:sz w:val="20"/>
                <w:lang w:val="en-US"/>
              </w:rPr>
            </w:pPr>
            <w:r w:rsidRPr="007C26FE">
              <w:rPr>
                <w:sz w:val="20"/>
                <w:lang w:val="de"/>
              </w:rPr>
              <w:t>2.D.3.b</w:t>
            </w:r>
          </w:p>
        </w:tc>
        <w:tc>
          <w:tcPr>
            <w:tcW w:w="1280" w:type="dxa"/>
            <w:tcBorders>
              <w:top w:val="nil"/>
              <w:left w:val="nil"/>
              <w:bottom w:val="single" w:sz="4" w:space="0" w:color="auto"/>
              <w:right w:val="single" w:sz="4" w:space="0" w:color="auto"/>
            </w:tcBorders>
            <w:shd w:val="clear" w:color="auto" w:fill="auto"/>
            <w:noWrap/>
            <w:hideMark/>
          </w:tcPr>
          <w:p w14:paraId="7319E9B0" w14:textId="77777777" w:rsidR="00771EA5" w:rsidRPr="007C26FE" w:rsidRDefault="00771EA5" w:rsidP="00112A7C">
            <w:pPr>
              <w:rPr>
                <w:color w:val="000000" w:themeColor="text1"/>
                <w:sz w:val="20"/>
                <w:lang w:val="en-US"/>
              </w:rPr>
            </w:pPr>
            <w:r w:rsidRPr="007C26FE">
              <w:rPr>
                <w:sz w:val="20"/>
              </w:rPr>
              <w:t>PM10</w:t>
            </w:r>
          </w:p>
        </w:tc>
        <w:tc>
          <w:tcPr>
            <w:tcW w:w="1413" w:type="dxa"/>
            <w:tcBorders>
              <w:top w:val="nil"/>
              <w:left w:val="nil"/>
              <w:bottom w:val="single" w:sz="4" w:space="0" w:color="auto"/>
              <w:right w:val="single" w:sz="4" w:space="0" w:color="auto"/>
            </w:tcBorders>
            <w:shd w:val="clear" w:color="auto" w:fill="auto"/>
            <w:noWrap/>
            <w:hideMark/>
          </w:tcPr>
          <w:p w14:paraId="44270178" w14:textId="77777777" w:rsidR="00771EA5" w:rsidRPr="007C26FE" w:rsidRDefault="00771EA5" w:rsidP="00112A7C">
            <w:pPr>
              <w:rPr>
                <w:color w:val="000000" w:themeColor="text1"/>
                <w:sz w:val="20"/>
                <w:lang w:val="en-US"/>
              </w:rPr>
            </w:pPr>
            <w:r w:rsidRPr="007C26FE">
              <w:rPr>
                <w:sz w:val="20"/>
                <w:lang w:val="de"/>
              </w:rPr>
              <w:t>2005, 2010, 2019</w:t>
            </w:r>
          </w:p>
        </w:tc>
        <w:tc>
          <w:tcPr>
            <w:tcW w:w="1556" w:type="dxa"/>
            <w:tcBorders>
              <w:top w:val="nil"/>
              <w:left w:val="nil"/>
              <w:bottom w:val="single" w:sz="4" w:space="0" w:color="auto"/>
              <w:right w:val="single" w:sz="4" w:space="0" w:color="auto"/>
            </w:tcBorders>
            <w:shd w:val="clear" w:color="auto" w:fill="auto"/>
            <w:noWrap/>
            <w:hideMark/>
          </w:tcPr>
          <w:p w14:paraId="27702E3D" w14:textId="77777777" w:rsidR="00771EA5" w:rsidRPr="007C26FE" w:rsidRDefault="00771EA5" w:rsidP="00112A7C">
            <w:pPr>
              <w:rPr>
                <w:color w:val="000000" w:themeColor="text1"/>
                <w:sz w:val="20"/>
                <w:lang w:val="en-US"/>
              </w:rPr>
            </w:pPr>
            <w:r w:rsidRPr="007C26FE">
              <w:rPr>
                <w:sz w:val="20"/>
              </w:rPr>
              <w:t>Montenegro</w:t>
            </w:r>
          </w:p>
        </w:tc>
        <w:tc>
          <w:tcPr>
            <w:tcW w:w="2790" w:type="dxa"/>
            <w:tcBorders>
              <w:top w:val="nil"/>
              <w:left w:val="nil"/>
              <w:bottom w:val="single" w:sz="4" w:space="0" w:color="auto"/>
              <w:right w:val="single" w:sz="8" w:space="0" w:color="auto"/>
            </w:tcBorders>
            <w:shd w:val="clear" w:color="auto" w:fill="auto"/>
            <w:noWrap/>
            <w:hideMark/>
          </w:tcPr>
          <w:p w14:paraId="15AAA53E" w14:textId="77777777" w:rsidR="00771EA5" w:rsidRPr="007C26FE" w:rsidRDefault="00771EA5" w:rsidP="00112A7C">
            <w:pPr>
              <w:rPr>
                <w:color w:val="000000" w:themeColor="text1"/>
                <w:sz w:val="20"/>
                <w:lang w:val="en-US"/>
              </w:rPr>
            </w:pPr>
            <w:r w:rsidRPr="007C26FE">
              <w:rPr>
                <w:sz w:val="20"/>
                <w:lang w:val="de"/>
              </w:rPr>
              <w:t>+11.4% (2019), +12.7% (2010), +1.6% (2005)</w:t>
            </w:r>
          </w:p>
        </w:tc>
      </w:tr>
      <w:tr w:rsidR="00771EA5" w:rsidRPr="007C26FE" w14:paraId="67F9B355" w14:textId="77777777" w:rsidTr="003377C8">
        <w:trPr>
          <w:trHeight w:val="300"/>
        </w:trPr>
        <w:tc>
          <w:tcPr>
            <w:tcW w:w="1315" w:type="dxa"/>
            <w:tcBorders>
              <w:top w:val="nil"/>
              <w:left w:val="single" w:sz="8" w:space="0" w:color="auto"/>
              <w:bottom w:val="single" w:sz="4" w:space="0" w:color="auto"/>
              <w:right w:val="single" w:sz="4" w:space="0" w:color="auto"/>
            </w:tcBorders>
            <w:shd w:val="clear" w:color="auto" w:fill="auto"/>
            <w:noWrap/>
            <w:hideMark/>
          </w:tcPr>
          <w:p w14:paraId="4F90646A" w14:textId="77777777" w:rsidR="00771EA5" w:rsidRPr="007C26FE" w:rsidRDefault="00771EA5" w:rsidP="00112A7C">
            <w:pPr>
              <w:rPr>
                <w:color w:val="000000" w:themeColor="text1"/>
                <w:sz w:val="20"/>
                <w:lang w:val="en-US"/>
              </w:rPr>
            </w:pPr>
            <w:r w:rsidRPr="007C26FE">
              <w:rPr>
                <w:sz w:val="20"/>
                <w:lang w:val="de"/>
              </w:rPr>
              <w:t>2.D.3.b</w:t>
            </w:r>
          </w:p>
        </w:tc>
        <w:tc>
          <w:tcPr>
            <w:tcW w:w="1280" w:type="dxa"/>
            <w:tcBorders>
              <w:top w:val="nil"/>
              <w:left w:val="nil"/>
              <w:bottom w:val="single" w:sz="4" w:space="0" w:color="auto"/>
              <w:right w:val="single" w:sz="4" w:space="0" w:color="auto"/>
            </w:tcBorders>
            <w:shd w:val="clear" w:color="auto" w:fill="auto"/>
            <w:noWrap/>
            <w:hideMark/>
          </w:tcPr>
          <w:p w14:paraId="716907A7" w14:textId="77777777" w:rsidR="00771EA5" w:rsidRPr="007C26FE" w:rsidRDefault="00771EA5" w:rsidP="00112A7C">
            <w:pPr>
              <w:rPr>
                <w:color w:val="000000" w:themeColor="text1"/>
                <w:sz w:val="20"/>
                <w:lang w:val="en-US"/>
              </w:rPr>
            </w:pPr>
            <w:r w:rsidRPr="007C26FE">
              <w:rPr>
                <w:color w:val="000000" w:themeColor="text1"/>
                <w:sz w:val="20"/>
              </w:rPr>
              <w:t>PM2.5</w:t>
            </w:r>
          </w:p>
        </w:tc>
        <w:tc>
          <w:tcPr>
            <w:tcW w:w="1413" w:type="dxa"/>
            <w:tcBorders>
              <w:top w:val="nil"/>
              <w:left w:val="nil"/>
              <w:bottom w:val="single" w:sz="4" w:space="0" w:color="auto"/>
              <w:right w:val="single" w:sz="4" w:space="0" w:color="auto"/>
            </w:tcBorders>
            <w:shd w:val="clear" w:color="auto" w:fill="auto"/>
            <w:noWrap/>
            <w:hideMark/>
          </w:tcPr>
          <w:p w14:paraId="65578701" w14:textId="77777777" w:rsidR="00771EA5" w:rsidRPr="007C26FE" w:rsidRDefault="00771EA5" w:rsidP="00112A7C">
            <w:pPr>
              <w:rPr>
                <w:color w:val="000000" w:themeColor="text1"/>
                <w:sz w:val="20"/>
                <w:lang w:val="en-US"/>
              </w:rPr>
            </w:pPr>
            <w:r w:rsidRPr="007C26FE">
              <w:rPr>
                <w:sz w:val="20"/>
                <w:lang w:val="de"/>
              </w:rPr>
              <w:t>2005, 2010, 2019</w:t>
            </w:r>
          </w:p>
        </w:tc>
        <w:tc>
          <w:tcPr>
            <w:tcW w:w="1556" w:type="dxa"/>
            <w:tcBorders>
              <w:top w:val="nil"/>
              <w:left w:val="nil"/>
              <w:bottom w:val="single" w:sz="4" w:space="0" w:color="auto"/>
              <w:right w:val="single" w:sz="4" w:space="0" w:color="auto"/>
            </w:tcBorders>
            <w:shd w:val="clear" w:color="auto" w:fill="auto"/>
            <w:noWrap/>
            <w:hideMark/>
          </w:tcPr>
          <w:p w14:paraId="69E31C95" w14:textId="77777777" w:rsidR="00771EA5" w:rsidRPr="007C26FE" w:rsidRDefault="00771EA5" w:rsidP="00112A7C">
            <w:pPr>
              <w:rPr>
                <w:color w:val="000000" w:themeColor="text1"/>
                <w:sz w:val="20"/>
                <w:lang w:val="en-US"/>
              </w:rPr>
            </w:pPr>
            <w:r w:rsidRPr="007C26FE">
              <w:rPr>
                <w:sz w:val="20"/>
              </w:rPr>
              <w:t>Montenegro</w:t>
            </w:r>
          </w:p>
        </w:tc>
        <w:tc>
          <w:tcPr>
            <w:tcW w:w="2790" w:type="dxa"/>
            <w:tcBorders>
              <w:top w:val="nil"/>
              <w:left w:val="nil"/>
              <w:bottom w:val="single" w:sz="4" w:space="0" w:color="auto"/>
              <w:right w:val="single" w:sz="8" w:space="0" w:color="auto"/>
            </w:tcBorders>
            <w:shd w:val="clear" w:color="auto" w:fill="auto"/>
            <w:noWrap/>
            <w:hideMark/>
          </w:tcPr>
          <w:p w14:paraId="48CC7D8F" w14:textId="77777777" w:rsidR="00771EA5" w:rsidRPr="007C26FE" w:rsidRDefault="00771EA5" w:rsidP="00112A7C">
            <w:pPr>
              <w:rPr>
                <w:color w:val="000000" w:themeColor="text1"/>
                <w:sz w:val="20"/>
                <w:lang w:val="en-US"/>
              </w:rPr>
            </w:pPr>
            <w:r w:rsidRPr="007C26FE">
              <w:rPr>
                <w:sz w:val="20"/>
                <w:lang w:val="de"/>
              </w:rPr>
              <w:t>+1.7% (2019), +2% (2010), +0.2% (2005)</w:t>
            </w:r>
          </w:p>
        </w:tc>
      </w:tr>
      <w:tr w:rsidR="00771EA5" w:rsidRPr="007C26FE" w14:paraId="5FD9416D" w14:textId="77777777" w:rsidTr="003377C8">
        <w:trPr>
          <w:trHeight w:val="300"/>
        </w:trPr>
        <w:tc>
          <w:tcPr>
            <w:tcW w:w="1315" w:type="dxa"/>
            <w:tcBorders>
              <w:top w:val="nil"/>
              <w:left w:val="single" w:sz="8" w:space="0" w:color="auto"/>
              <w:bottom w:val="single" w:sz="4" w:space="0" w:color="auto"/>
              <w:right w:val="single" w:sz="4" w:space="0" w:color="auto"/>
            </w:tcBorders>
            <w:shd w:val="clear" w:color="auto" w:fill="auto"/>
            <w:noWrap/>
            <w:hideMark/>
          </w:tcPr>
          <w:p w14:paraId="7161C2A8" w14:textId="77777777" w:rsidR="00771EA5" w:rsidRPr="007C26FE" w:rsidRDefault="00771EA5" w:rsidP="00112A7C">
            <w:pPr>
              <w:rPr>
                <w:color w:val="000000" w:themeColor="text1"/>
                <w:sz w:val="20"/>
                <w:lang w:val="en-US"/>
              </w:rPr>
            </w:pPr>
            <w:r w:rsidRPr="007C26FE">
              <w:rPr>
                <w:sz w:val="20"/>
                <w:lang w:val="de"/>
              </w:rPr>
              <w:t>2.D.3.b</w:t>
            </w:r>
          </w:p>
        </w:tc>
        <w:tc>
          <w:tcPr>
            <w:tcW w:w="1280" w:type="dxa"/>
            <w:tcBorders>
              <w:top w:val="nil"/>
              <w:left w:val="nil"/>
              <w:bottom w:val="single" w:sz="4" w:space="0" w:color="auto"/>
              <w:right w:val="single" w:sz="4" w:space="0" w:color="auto"/>
            </w:tcBorders>
            <w:shd w:val="clear" w:color="auto" w:fill="auto"/>
            <w:noWrap/>
            <w:hideMark/>
          </w:tcPr>
          <w:p w14:paraId="4E758DC2" w14:textId="77777777" w:rsidR="00771EA5" w:rsidRPr="007C26FE" w:rsidRDefault="00771EA5" w:rsidP="00112A7C">
            <w:pPr>
              <w:rPr>
                <w:color w:val="000000" w:themeColor="text1"/>
                <w:sz w:val="20"/>
                <w:lang w:val="en-US"/>
              </w:rPr>
            </w:pPr>
            <w:r w:rsidRPr="007C26FE">
              <w:rPr>
                <w:color w:val="000000" w:themeColor="text1"/>
                <w:sz w:val="20"/>
              </w:rPr>
              <w:t>BC</w:t>
            </w:r>
          </w:p>
        </w:tc>
        <w:tc>
          <w:tcPr>
            <w:tcW w:w="1413" w:type="dxa"/>
            <w:tcBorders>
              <w:top w:val="nil"/>
              <w:left w:val="nil"/>
              <w:bottom w:val="single" w:sz="4" w:space="0" w:color="auto"/>
              <w:right w:val="single" w:sz="4" w:space="0" w:color="auto"/>
            </w:tcBorders>
            <w:shd w:val="clear" w:color="auto" w:fill="auto"/>
            <w:noWrap/>
            <w:hideMark/>
          </w:tcPr>
          <w:p w14:paraId="0ECC2685" w14:textId="77777777" w:rsidR="00771EA5" w:rsidRPr="007C26FE" w:rsidRDefault="00771EA5" w:rsidP="00112A7C">
            <w:pPr>
              <w:rPr>
                <w:color w:val="000000" w:themeColor="text1"/>
                <w:sz w:val="20"/>
                <w:lang w:val="en-US"/>
              </w:rPr>
            </w:pPr>
            <w:r w:rsidRPr="007C26FE">
              <w:rPr>
                <w:sz w:val="20"/>
                <w:lang w:val="de"/>
              </w:rPr>
              <w:t>2005, 2010, 2019</w:t>
            </w:r>
          </w:p>
        </w:tc>
        <w:tc>
          <w:tcPr>
            <w:tcW w:w="1556" w:type="dxa"/>
            <w:tcBorders>
              <w:top w:val="nil"/>
              <w:left w:val="nil"/>
              <w:bottom w:val="single" w:sz="4" w:space="0" w:color="auto"/>
              <w:right w:val="single" w:sz="4" w:space="0" w:color="auto"/>
            </w:tcBorders>
            <w:shd w:val="clear" w:color="auto" w:fill="auto"/>
            <w:noWrap/>
            <w:hideMark/>
          </w:tcPr>
          <w:p w14:paraId="48EE6407" w14:textId="77777777" w:rsidR="00771EA5" w:rsidRPr="007C26FE" w:rsidRDefault="00771EA5" w:rsidP="00112A7C">
            <w:pPr>
              <w:rPr>
                <w:color w:val="000000" w:themeColor="text1"/>
                <w:sz w:val="20"/>
                <w:lang w:val="en-US"/>
              </w:rPr>
            </w:pPr>
            <w:r w:rsidRPr="007C26FE">
              <w:rPr>
                <w:sz w:val="20"/>
              </w:rPr>
              <w:t>Montenegro</w:t>
            </w:r>
          </w:p>
        </w:tc>
        <w:tc>
          <w:tcPr>
            <w:tcW w:w="2790" w:type="dxa"/>
            <w:tcBorders>
              <w:top w:val="nil"/>
              <w:left w:val="nil"/>
              <w:bottom w:val="single" w:sz="4" w:space="0" w:color="auto"/>
              <w:right w:val="single" w:sz="8" w:space="0" w:color="auto"/>
            </w:tcBorders>
            <w:shd w:val="clear" w:color="auto" w:fill="auto"/>
            <w:noWrap/>
            <w:hideMark/>
          </w:tcPr>
          <w:p w14:paraId="7C8044B8" w14:textId="77777777" w:rsidR="00771EA5" w:rsidRPr="007C26FE" w:rsidRDefault="00771EA5" w:rsidP="00112A7C">
            <w:pPr>
              <w:rPr>
                <w:color w:val="000000" w:themeColor="text1"/>
                <w:sz w:val="20"/>
                <w:lang w:val="en-US"/>
              </w:rPr>
            </w:pPr>
            <w:r w:rsidRPr="007C26FE">
              <w:rPr>
                <w:sz w:val="20"/>
                <w:lang w:val="de"/>
              </w:rPr>
              <w:t>+1.2% (2019), +8.6% (2010), +1.2% (2005)</w:t>
            </w:r>
          </w:p>
        </w:tc>
      </w:tr>
      <w:tr w:rsidR="00771EA5" w:rsidRPr="007C26FE" w14:paraId="6A32D6B9" w14:textId="77777777" w:rsidTr="003377C8">
        <w:trPr>
          <w:trHeight w:val="315"/>
        </w:trPr>
        <w:tc>
          <w:tcPr>
            <w:tcW w:w="1315" w:type="dxa"/>
            <w:tcBorders>
              <w:top w:val="nil"/>
              <w:left w:val="single" w:sz="8" w:space="0" w:color="auto"/>
              <w:bottom w:val="single" w:sz="8" w:space="0" w:color="auto"/>
              <w:right w:val="single" w:sz="4" w:space="0" w:color="auto"/>
            </w:tcBorders>
            <w:shd w:val="clear" w:color="auto" w:fill="auto"/>
            <w:noWrap/>
            <w:hideMark/>
          </w:tcPr>
          <w:p w14:paraId="2CAFD2BB" w14:textId="77777777" w:rsidR="00771EA5" w:rsidRPr="007C26FE" w:rsidRDefault="00771EA5" w:rsidP="00112A7C">
            <w:pPr>
              <w:rPr>
                <w:color w:val="000000" w:themeColor="text1"/>
                <w:sz w:val="20"/>
                <w:lang w:val="en-US"/>
              </w:rPr>
            </w:pPr>
            <w:r w:rsidRPr="007C26FE">
              <w:rPr>
                <w:sz w:val="20"/>
                <w:lang w:val="de"/>
              </w:rPr>
              <w:t>2.D.3.f</w:t>
            </w:r>
          </w:p>
        </w:tc>
        <w:tc>
          <w:tcPr>
            <w:tcW w:w="1280" w:type="dxa"/>
            <w:tcBorders>
              <w:top w:val="nil"/>
              <w:left w:val="nil"/>
              <w:bottom w:val="single" w:sz="8" w:space="0" w:color="auto"/>
              <w:right w:val="single" w:sz="4" w:space="0" w:color="auto"/>
            </w:tcBorders>
            <w:shd w:val="clear" w:color="auto" w:fill="auto"/>
            <w:noWrap/>
            <w:hideMark/>
          </w:tcPr>
          <w:p w14:paraId="70342B7E" w14:textId="77777777" w:rsidR="00771EA5" w:rsidRPr="007C26FE" w:rsidRDefault="00771EA5" w:rsidP="00112A7C">
            <w:pPr>
              <w:rPr>
                <w:color w:val="000000" w:themeColor="text1"/>
                <w:sz w:val="20"/>
                <w:lang w:val="en-US"/>
              </w:rPr>
            </w:pPr>
            <w:r w:rsidRPr="007C26FE">
              <w:rPr>
                <w:sz w:val="20"/>
                <w:lang w:val="de"/>
              </w:rPr>
              <w:t>NMVOC</w:t>
            </w:r>
          </w:p>
        </w:tc>
        <w:tc>
          <w:tcPr>
            <w:tcW w:w="1413" w:type="dxa"/>
            <w:tcBorders>
              <w:top w:val="nil"/>
              <w:left w:val="nil"/>
              <w:bottom w:val="single" w:sz="8" w:space="0" w:color="auto"/>
              <w:right w:val="single" w:sz="4" w:space="0" w:color="auto"/>
            </w:tcBorders>
            <w:shd w:val="clear" w:color="auto" w:fill="auto"/>
            <w:noWrap/>
            <w:hideMark/>
          </w:tcPr>
          <w:p w14:paraId="1C757FA1" w14:textId="77777777" w:rsidR="00771EA5" w:rsidRPr="007C26FE" w:rsidRDefault="00771EA5" w:rsidP="00112A7C">
            <w:pPr>
              <w:rPr>
                <w:color w:val="000000" w:themeColor="text1"/>
                <w:sz w:val="20"/>
                <w:lang w:val="en-US"/>
              </w:rPr>
            </w:pPr>
            <w:r w:rsidRPr="007C26FE">
              <w:rPr>
                <w:sz w:val="20"/>
                <w:lang w:val="de"/>
              </w:rPr>
              <w:t>2005, 2010, 2019</w:t>
            </w:r>
          </w:p>
        </w:tc>
        <w:tc>
          <w:tcPr>
            <w:tcW w:w="1556" w:type="dxa"/>
            <w:tcBorders>
              <w:top w:val="nil"/>
              <w:left w:val="nil"/>
              <w:bottom w:val="single" w:sz="8" w:space="0" w:color="auto"/>
              <w:right w:val="single" w:sz="4" w:space="0" w:color="auto"/>
            </w:tcBorders>
            <w:shd w:val="clear" w:color="auto" w:fill="auto"/>
            <w:noWrap/>
            <w:hideMark/>
          </w:tcPr>
          <w:p w14:paraId="62AE0AE5" w14:textId="77777777" w:rsidR="00771EA5" w:rsidRPr="007C26FE" w:rsidRDefault="00771EA5" w:rsidP="00112A7C">
            <w:pPr>
              <w:rPr>
                <w:color w:val="000000" w:themeColor="text1"/>
                <w:sz w:val="20"/>
                <w:lang w:val="en-US"/>
              </w:rPr>
            </w:pPr>
            <w:r w:rsidRPr="007C26FE">
              <w:rPr>
                <w:sz w:val="20"/>
              </w:rPr>
              <w:t>ERT</w:t>
            </w:r>
          </w:p>
        </w:tc>
        <w:tc>
          <w:tcPr>
            <w:tcW w:w="2790" w:type="dxa"/>
            <w:tcBorders>
              <w:top w:val="nil"/>
              <w:left w:val="nil"/>
              <w:bottom w:val="single" w:sz="8" w:space="0" w:color="auto"/>
              <w:right w:val="single" w:sz="8" w:space="0" w:color="auto"/>
            </w:tcBorders>
            <w:shd w:val="clear" w:color="auto" w:fill="auto"/>
            <w:noWrap/>
            <w:hideMark/>
          </w:tcPr>
          <w:p w14:paraId="49E4D100" w14:textId="77777777" w:rsidR="00771EA5" w:rsidRPr="007C26FE" w:rsidRDefault="00771EA5" w:rsidP="00112A7C">
            <w:pPr>
              <w:rPr>
                <w:color w:val="000000" w:themeColor="text1"/>
                <w:sz w:val="20"/>
                <w:lang w:val="en-US"/>
              </w:rPr>
            </w:pPr>
            <w:r w:rsidRPr="007C26FE">
              <w:rPr>
                <w:sz w:val="20"/>
                <w:lang w:val="de"/>
              </w:rPr>
              <w:t>+2.1% (2019), +1.9% (2010), +2.2% (2005)</w:t>
            </w:r>
          </w:p>
        </w:tc>
      </w:tr>
    </w:tbl>
    <w:p w14:paraId="75B6DC10" w14:textId="77777777" w:rsidR="00673F71" w:rsidRPr="00F76899" w:rsidRDefault="00673F71" w:rsidP="007F5740">
      <w:pPr>
        <w:pStyle w:val="RegPara"/>
        <w:numPr>
          <w:ilvl w:val="0"/>
          <w:numId w:val="0"/>
        </w:numPr>
        <w:rPr>
          <w:lang w:val="en-US"/>
        </w:rPr>
      </w:pPr>
    </w:p>
    <w:p w14:paraId="465E7371" w14:textId="0CCF82AB" w:rsidR="00945281" w:rsidRDefault="00945281" w:rsidP="00112A7C">
      <w:pPr>
        <w:pStyle w:val="berschrift1"/>
      </w:pPr>
      <w:r>
        <w:rPr>
          <w:highlight w:val="lightGray"/>
        </w:rPr>
        <w:br w:type="page"/>
      </w:r>
      <w:bookmarkStart w:id="30" w:name="_Toc79490429"/>
      <w:r>
        <w:lastRenderedPageBreak/>
        <w:t>Part B: Recommendations for Improvements to the Party</w:t>
      </w:r>
      <w:bookmarkEnd w:id="30"/>
      <w:r w:rsidR="00F267DD" w:rsidRPr="0B5AB0B5">
        <w:t xml:space="preserve"> </w:t>
      </w:r>
    </w:p>
    <w:p w14:paraId="307F9F8E" w14:textId="77777777" w:rsidR="00945281" w:rsidRDefault="00945281">
      <w:pPr>
        <w:pStyle w:val="berschrift2"/>
      </w:pPr>
      <w:bookmarkStart w:id="31" w:name="_Toc79490430"/>
      <w:r>
        <w:t>Cross cutting improvements identified by the ERT</w:t>
      </w:r>
      <w:bookmarkEnd w:id="31"/>
    </w:p>
    <w:p w14:paraId="60846C87" w14:textId="77777777" w:rsidR="00112A7C" w:rsidRPr="00356357" w:rsidRDefault="00112A7C" w:rsidP="007F5740">
      <w:pPr>
        <w:pStyle w:val="RegPara"/>
      </w:pPr>
      <w:r w:rsidRPr="00356357">
        <w:t>The ERT identifie</w:t>
      </w:r>
      <w:r>
        <w:t>d</w:t>
      </w:r>
      <w:r w:rsidRPr="00356357">
        <w:t xml:space="preserve"> the following cross-cutting issues for improvement</w:t>
      </w:r>
      <w:r>
        <w:t xml:space="preserve"> and recommends that the Party</w:t>
      </w:r>
      <w:r w:rsidRPr="00356357">
        <w:t>:</w:t>
      </w:r>
    </w:p>
    <w:p w14:paraId="225A5250" w14:textId="5E8532DC" w:rsidR="00131AE3" w:rsidRPr="00131AE3" w:rsidRDefault="00131AE3" w:rsidP="003377C8">
      <w:pPr>
        <w:pStyle w:val="RegPara"/>
        <w:numPr>
          <w:ilvl w:val="4"/>
          <w:numId w:val="1"/>
        </w:numPr>
      </w:pPr>
      <w:r w:rsidRPr="00131AE3">
        <w:t>improve the quality and transparency of the IIR, by eliminating any inconsistencies in the activity data, methodology and EFs used in accordance with the EMEP/EEA Guidebook 2019.</w:t>
      </w:r>
    </w:p>
    <w:p w14:paraId="7E147FB4" w14:textId="22368DC8" w:rsidR="00131AE3" w:rsidRPr="00131AE3" w:rsidRDefault="00131AE3" w:rsidP="003377C8">
      <w:pPr>
        <w:pStyle w:val="RegPara"/>
        <w:numPr>
          <w:ilvl w:val="4"/>
          <w:numId w:val="1"/>
        </w:numPr>
      </w:pPr>
      <w:r w:rsidRPr="00131AE3">
        <w:t>provide emission estimates separately for all subsectors according to the NFR format.</w:t>
      </w:r>
    </w:p>
    <w:p w14:paraId="737428E1" w14:textId="6060016D" w:rsidR="00131AE3" w:rsidRPr="00131AE3" w:rsidRDefault="00131AE3" w:rsidP="003377C8">
      <w:pPr>
        <w:pStyle w:val="RegPara"/>
        <w:numPr>
          <w:ilvl w:val="4"/>
          <w:numId w:val="1"/>
        </w:numPr>
      </w:pPr>
      <w:r w:rsidRPr="00131AE3">
        <w:t xml:space="preserve">provide additional detail on the rational for the recalculations as well as the impacts of the changes on the national estimates and </w:t>
      </w:r>
      <w:r w:rsidR="003377C8" w:rsidRPr="00131AE3">
        <w:t>time series</w:t>
      </w:r>
      <w:r w:rsidRPr="00131AE3">
        <w:t xml:space="preserve"> in its future IIR submissions. </w:t>
      </w:r>
    </w:p>
    <w:p w14:paraId="4A512FC1" w14:textId="42CEE7A7" w:rsidR="00131AE3" w:rsidRPr="00131AE3" w:rsidRDefault="00131AE3" w:rsidP="003377C8">
      <w:pPr>
        <w:pStyle w:val="RegPara"/>
        <w:numPr>
          <w:ilvl w:val="4"/>
          <w:numId w:val="1"/>
        </w:numPr>
      </w:pPr>
      <w:r w:rsidRPr="00131AE3">
        <w:t>improve the consistency of its time series in the next submission.</w:t>
      </w:r>
    </w:p>
    <w:p w14:paraId="27A1EE3C" w14:textId="59D9F65E" w:rsidR="00131AE3" w:rsidRPr="00131AE3" w:rsidRDefault="00131AE3" w:rsidP="003377C8">
      <w:pPr>
        <w:pStyle w:val="RegPara"/>
        <w:numPr>
          <w:ilvl w:val="4"/>
          <w:numId w:val="1"/>
        </w:numPr>
      </w:pPr>
      <w:r w:rsidRPr="00131AE3">
        <w:t xml:space="preserve">extend quantitative uncertainty analysis also for the remaining sectors. </w:t>
      </w:r>
    </w:p>
    <w:p w14:paraId="0A3D3596" w14:textId="6CF5957E" w:rsidR="00131AE3" w:rsidRPr="00131AE3" w:rsidRDefault="00131AE3" w:rsidP="003377C8">
      <w:pPr>
        <w:pStyle w:val="RegPara"/>
        <w:numPr>
          <w:ilvl w:val="4"/>
          <w:numId w:val="1"/>
        </w:numPr>
      </w:pPr>
      <w:r w:rsidRPr="00131AE3">
        <w:t xml:space="preserve">consult the EMEP/EEA Guidebook 2019 regarding the sector-specific OA/QC procedures to ensure emission estimations </w:t>
      </w:r>
      <w:r w:rsidR="004C318B">
        <w:t xml:space="preserve">are </w:t>
      </w:r>
      <w:r w:rsidR="004C318B" w:rsidRPr="00131AE3">
        <w:t xml:space="preserve">accurate </w:t>
      </w:r>
      <w:r w:rsidRPr="00131AE3">
        <w:t xml:space="preserve">and that the IIR is updated with relevant detail regarding the QA/QC plan in the next submission. </w:t>
      </w:r>
    </w:p>
    <w:p w14:paraId="693D8166" w14:textId="326FB773" w:rsidR="00131AE3" w:rsidRPr="00131AE3" w:rsidRDefault="00131AE3" w:rsidP="003377C8">
      <w:pPr>
        <w:pStyle w:val="RegPara"/>
        <w:numPr>
          <w:ilvl w:val="4"/>
          <w:numId w:val="1"/>
        </w:numPr>
      </w:pPr>
      <w:r w:rsidRPr="00131AE3">
        <w:t>include information on condensable components in the next submission following Annex II of the 2014 Reporting Guidelines.</w:t>
      </w:r>
    </w:p>
    <w:p w14:paraId="779A11F3" w14:textId="61BC1173" w:rsidR="00131AE3" w:rsidRPr="00131AE3" w:rsidRDefault="00131AE3" w:rsidP="003377C8">
      <w:pPr>
        <w:pStyle w:val="RegPara"/>
        <w:numPr>
          <w:ilvl w:val="4"/>
          <w:numId w:val="1"/>
        </w:numPr>
      </w:pPr>
      <w:r w:rsidRPr="00131AE3">
        <w:t>implement planned improvements and report on the any changes in its next IIR.</w:t>
      </w:r>
    </w:p>
    <w:p w14:paraId="7A57F752" w14:textId="77777777" w:rsidR="00945281" w:rsidRDefault="00945281" w:rsidP="00131AE3">
      <w:pPr>
        <w:pStyle w:val="berschrift2"/>
        <w:jc w:val="both"/>
        <w:rPr>
          <w:rFonts w:eastAsia="MS Mincho"/>
          <w:lang w:eastAsia="ja-JP"/>
        </w:rPr>
      </w:pPr>
      <w:r w:rsidRPr="00131AE3">
        <w:rPr>
          <w:rFonts w:eastAsia="MS Mincho"/>
          <w:lang w:eastAsia="ja-JP"/>
        </w:rPr>
        <w:br w:type="page"/>
      </w:r>
      <w:bookmarkStart w:id="32" w:name="_Toc79490431"/>
      <w:r>
        <w:rPr>
          <w:rFonts w:eastAsia="MS Mincho"/>
          <w:lang w:eastAsia="ja-JP"/>
        </w:rPr>
        <w:lastRenderedPageBreak/>
        <w:t>Sector specific recommendations for improvements identified by ERT</w:t>
      </w:r>
      <w:bookmarkEnd w:id="32"/>
    </w:p>
    <w:p w14:paraId="3F834919" w14:textId="77777777" w:rsidR="006B6009" w:rsidRDefault="006B6009" w:rsidP="2A9278A2">
      <w:pPr>
        <w:pStyle w:val="berschrift2"/>
        <w:rPr>
          <w:rFonts w:eastAsia="MS Mincho"/>
          <w:lang w:eastAsia="ja-JP"/>
        </w:rPr>
      </w:pPr>
      <w:bookmarkStart w:id="33" w:name="_Toc79490432"/>
      <w:r>
        <w:rPr>
          <w:rFonts w:eastAsia="MS Mincho"/>
          <w:lang w:eastAsia="ja-JP"/>
        </w:rPr>
        <w:t>Energy</w:t>
      </w:r>
      <w:bookmarkEnd w:id="33"/>
    </w:p>
    <w:p w14:paraId="2A981AC7" w14:textId="77777777" w:rsidR="006B6009" w:rsidRPr="00140C7C" w:rsidRDefault="2A9278A2" w:rsidP="006B6009">
      <w:pPr>
        <w:pStyle w:val="berschrift4"/>
      </w:pPr>
      <w:r w:rsidRPr="00140C7C">
        <w:t>Review Scope</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6"/>
        <w:gridCol w:w="3695"/>
        <w:gridCol w:w="993"/>
        <w:gridCol w:w="992"/>
        <w:gridCol w:w="1754"/>
      </w:tblGrid>
      <w:tr w:rsidR="006B6009" w:rsidRPr="00140C7C" w14:paraId="318508B2" w14:textId="77777777" w:rsidTr="2A9278A2">
        <w:trPr>
          <w:trHeight w:val="255"/>
        </w:trPr>
        <w:tc>
          <w:tcPr>
            <w:tcW w:w="4541" w:type="dxa"/>
            <w:gridSpan w:val="2"/>
            <w:shd w:val="clear" w:color="auto" w:fill="CCCCCC"/>
            <w:noWrap/>
            <w:vAlign w:val="center"/>
          </w:tcPr>
          <w:p w14:paraId="2847FDD7" w14:textId="77777777" w:rsidR="006B6009" w:rsidRPr="00140C7C" w:rsidRDefault="2A9278A2" w:rsidP="2A9278A2">
            <w:pPr>
              <w:pStyle w:val="TableText"/>
              <w:rPr>
                <w:b/>
                <w:bCs/>
              </w:rPr>
            </w:pPr>
            <w:r w:rsidRPr="00140C7C">
              <w:rPr>
                <w:b/>
                <w:bCs/>
              </w:rPr>
              <w:t>Pollutants Reviewed</w:t>
            </w:r>
          </w:p>
        </w:tc>
        <w:tc>
          <w:tcPr>
            <w:tcW w:w="3739" w:type="dxa"/>
            <w:gridSpan w:val="3"/>
            <w:shd w:val="clear" w:color="auto" w:fill="auto"/>
            <w:vAlign w:val="center"/>
          </w:tcPr>
          <w:p w14:paraId="6CE1E7C3" w14:textId="77777777" w:rsidR="006B6009" w:rsidRPr="00140C7C" w:rsidRDefault="2A9278A2" w:rsidP="00504A09">
            <w:pPr>
              <w:pStyle w:val="TableText"/>
            </w:pPr>
            <w:r w:rsidRPr="00140C7C">
              <w:t>SO</w:t>
            </w:r>
            <w:r w:rsidRPr="00140C7C">
              <w:rPr>
                <w:vertAlign w:val="subscript"/>
              </w:rPr>
              <w:t>2</w:t>
            </w:r>
            <w:r w:rsidRPr="00140C7C">
              <w:t>, NO</w:t>
            </w:r>
            <w:r w:rsidRPr="00140C7C">
              <w:rPr>
                <w:vertAlign w:val="subscript"/>
              </w:rPr>
              <w:t>x</w:t>
            </w:r>
            <w:r w:rsidRPr="00140C7C">
              <w:t>, NMVOC, NH</w:t>
            </w:r>
            <w:r w:rsidRPr="00140C7C">
              <w:rPr>
                <w:vertAlign w:val="subscript"/>
              </w:rPr>
              <w:t>3</w:t>
            </w:r>
            <w:r w:rsidRPr="00140C7C">
              <w:t>, PM</w:t>
            </w:r>
            <w:r w:rsidRPr="00140C7C">
              <w:rPr>
                <w:vertAlign w:val="subscript"/>
              </w:rPr>
              <w:t>10</w:t>
            </w:r>
            <w:r w:rsidRPr="00140C7C">
              <w:t xml:space="preserve"> &amp; PM</w:t>
            </w:r>
            <w:r w:rsidRPr="00140C7C">
              <w:rPr>
                <w:vertAlign w:val="subscript"/>
              </w:rPr>
              <w:t>2.5,</w:t>
            </w:r>
            <w:r w:rsidRPr="00140C7C">
              <w:t xml:space="preserve"> Cd, Hg, Pb, Dioxin, PAH</w:t>
            </w:r>
          </w:p>
        </w:tc>
      </w:tr>
      <w:tr w:rsidR="006B6009" w:rsidRPr="00140C7C" w14:paraId="33BF0196" w14:textId="77777777" w:rsidTr="2A9278A2">
        <w:trPr>
          <w:trHeight w:val="255"/>
        </w:trPr>
        <w:tc>
          <w:tcPr>
            <w:tcW w:w="4541" w:type="dxa"/>
            <w:gridSpan w:val="2"/>
            <w:shd w:val="clear" w:color="auto" w:fill="CCCCCC"/>
            <w:noWrap/>
            <w:vAlign w:val="center"/>
          </w:tcPr>
          <w:p w14:paraId="57AB5B05" w14:textId="77777777" w:rsidR="006B6009" w:rsidRPr="00140C7C" w:rsidRDefault="2A9278A2" w:rsidP="2A9278A2">
            <w:pPr>
              <w:pStyle w:val="TableText"/>
              <w:rPr>
                <w:b/>
                <w:bCs/>
              </w:rPr>
            </w:pPr>
            <w:r w:rsidRPr="00140C7C">
              <w:rPr>
                <w:b/>
                <w:bCs/>
              </w:rPr>
              <w:t>Years</w:t>
            </w:r>
          </w:p>
        </w:tc>
        <w:tc>
          <w:tcPr>
            <w:tcW w:w="3739" w:type="dxa"/>
            <w:gridSpan w:val="3"/>
            <w:shd w:val="clear" w:color="auto" w:fill="auto"/>
            <w:vAlign w:val="center"/>
          </w:tcPr>
          <w:p w14:paraId="63CFBE28" w14:textId="77777777" w:rsidR="006B6009" w:rsidRPr="00140C7C" w:rsidRDefault="2A9278A2" w:rsidP="00504A09">
            <w:pPr>
              <w:pStyle w:val="TableText"/>
            </w:pPr>
            <w:r w:rsidRPr="00140C7C">
              <w:t>1990 – 2019</w:t>
            </w:r>
          </w:p>
        </w:tc>
      </w:tr>
      <w:tr w:rsidR="006B6009" w:rsidRPr="00140C7C" w14:paraId="0197B81F" w14:textId="77777777" w:rsidTr="003377C8">
        <w:trPr>
          <w:trHeight w:val="255"/>
        </w:trPr>
        <w:tc>
          <w:tcPr>
            <w:tcW w:w="846" w:type="dxa"/>
            <w:shd w:val="clear" w:color="auto" w:fill="CCCCCC"/>
            <w:noWrap/>
            <w:vAlign w:val="center"/>
          </w:tcPr>
          <w:p w14:paraId="41ACB767" w14:textId="77777777" w:rsidR="006B6009" w:rsidRPr="00140C7C" w:rsidRDefault="2A9278A2" w:rsidP="2A9278A2">
            <w:pPr>
              <w:pStyle w:val="TableText"/>
              <w:jc w:val="center"/>
              <w:rPr>
                <w:rFonts w:eastAsia="Arial Unicode MS"/>
                <w:b/>
                <w:bCs/>
              </w:rPr>
            </w:pPr>
            <w:r w:rsidRPr="00140C7C">
              <w:rPr>
                <w:b/>
                <w:bCs/>
              </w:rPr>
              <w:t>Code</w:t>
            </w:r>
          </w:p>
        </w:tc>
        <w:tc>
          <w:tcPr>
            <w:tcW w:w="3695" w:type="dxa"/>
            <w:shd w:val="clear" w:color="auto" w:fill="CCCCCC"/>
            <w:vAlign w:val="center"/>
          </w:tcPr>
          <w:p w14:paraId="1A04B114" w14:textId="77777777" w:rsidR="006B6009" w:rsidRPr="00140C7C" w:rsidRDefault="2A9278A2" w:rsidP="2A9278A2">
            <w:pPr>
              <w:pStyle w:val="TableText"/>
              <w:jc w:val="center"/>
              <w:rPr>
                <w:b/>
                <w:bCs/>
              </w:rPr>
            </w:pPr>
            <w:r w:rsidRPr="00140C7C">
              <w:rPr>
                <w:b/>
                <w:bCs/>
              </w:rPr>
              <w:t>Name</w:t>
            </w:r>
          </w:p>
        </w:tc>
        <w:tc>
          <w:tcPr>
            <w:tcW w:w="993" w:type="dxa"/>
            <w:shd w:val="clear" w:color="auto" w:fill="CCCCCC"/>
            <w:vAlign w:val="center"/>
          </w:tcPr>
          <w:p w14:paraId="410A0AC2" w14:textId="77777777" w:rsidR="006B6009" w:rsidRPr="00140C7C" w:rsidRDefault="2A9278A2" w:rsidP="2A9278A2">
            <w:pPr>
              <w:pStyle w:val="TableText"/>
              <w:jc w:val="center"/>
              <w:rPr>
                <w:b/>
                <w:bCs/>
              </w:rPr>
            </w:pPr>
            <w:r w:rsidRPr="00140C7C">
              <w:rPr>
                <w:b/>
                <w:bCs/>
              </w:rPr>
              <w:t xml:space="preserve">Reviewed </w:t>
            </w:r>
          </w:p>
        </w:tc>
        <w:tc>
          <w:tcPr>
            <w:tcW w:w="992" w:type="dxa"/>
            <w:shd w:val="clear" w:color="auto" w:fill="CCCCCC"/>
            <w:vAlign w:val="center"/>
          </w:tcPr>
          <w:p w14:paraId="394B7AAF" w14:textId="77777777" w:rsidR="006B6009" w:rsidRPr="00140C7C" w:rsidRDefault="2A9278A2" w:rsidP="2A9278A2">
            <w:pPr>
              <w:pStyle w:val="TableText"/>
              <w:jc w:val="center"/>
              <w:rPr>
                <w:b/>
                <w:bCs/>
              </w:rPr>
            </w:pPr>
            <w:r w:rsidRPr="00140C7C">
              <w:rPr>
                <w:b/>
                <w:bCs/>
              </w:rPr>
              <w:t>Not Reviewed</w:t>
            </w:r>
          </w:p>
        </w:tc>
        <w:tc>
          <w:tcPr>
            <w:tcW w:w="1754" w:type="dxa"/>
            <w:shd w:val="clear" w:color="auto" w:fill="CCCCCC"/>
            <w:vAlign w:val="center"/>
          </w:tcPr>
          <w:p w14:paraId="1FAE6CFC" w14:textId="77777777" w:rsidR="006B6009" w:rsidRPr="00140C7C" w:rsidRDefault="2A9278A2" w:rsidP="2A9278A2">
            <w:pPr>
              <w:pStyle w:val="TableText"/>
              <w:jc w:val="center"/>
              <w:rPr>
                <w:b/>
                <w:bCs/>
              </w:rPr>
            </w:pPr>
            <w:r w:rsidRPr="00140C7C">
              <w:rPr>
                <w:b/>
                <w:bCs/>
              </w:rPr>
              <w:t>Recommendation Provided</w:t>
            </w:r>
          </w:p>
        </w:tc>
      </w:tr>
      <w:tr w:rsidR="006B6009" w:rsidRPr="00140C7C" w14:paraId="4AFB8575" w14:textId="77777777" w:rsidTr="003377C8">
        <w:tc>
          <w:tcPr>
            <w:tcW w:w="846" w:type="dxa"/>
            <w:shd w:val="clear" w:color="auto" w:fill="E0E0E0"/>
            <w:noWrap/>
            <w:vAlign w:val="center"/>
          </w:tcPr>
          <w:p w14:paraId="347F360F" w14:textId="77777777" w:rsidR="006B6009" w:rsidRPr="00140C7C" w:rsidRDefault="2A9278A2" w:rsidP="00504A09">
            <w:pPr>
              <w:pStyle w:val="TableText"/>
            </w:pPr>
            <w:r w:rsidRPr="00140C7C">
              <w:t>1A1a</w:t>
            </w:r>
          </w:p>
        </w:tc>
        <w:tc>
          <w:tcPr>
            <w:tcW w:w="3695" w:type="dxa"/>
            <w:shd w:val="clear" w:color="auto" w:fill="E0E0E0"/>
            <w:vAlign w:val="center"/>
          </w:tcPr>
          <w:p w14:paraId="0F49AB28" w14:textId="77777777" w:rsidR="006B6009" w:rsidRPr="00140C7C" w:rsidRDefault="2A9278A2" w:rsidP="00504A09">
            <w:pPr>
              <w:pStyle w:val="TableText"/>
            </w:pPr>
            <w:r w:rsidRPr="00140C7C">
              <w:t>Public electricity and heat production</w:t>
            </w:r>
          </w:p>
        </w:tc>
        <w:tc>
          <w:tcPr>
            <w:tcW w:w="993" w:type="dxa"/>
            <w:vAlign w:val="center"/>
          </w:tcPr>
          <w:p w14:paraId="1837C402" w14:textId="77777777" w:rsidR="006B6009" w:rsidRPr="00140C7C" w:rsidRDefault="2A9278A2" w:rsidP="00504A09">
            <w:pPr>
              <w:pStyle w:val="TableText"/>
              <w:jc w:val="center"/>
            </w:pPr>
            <w:r w:rsidRPr="00140C7C">
              <w:t>x</w:t>
            </w:r>
          </w:p>
        </w:tc>
        <w:tc>
          <w:tcPr>
            <w:tcW w:w="992" w:type="dxa"/>
            <w:vAlign w:val="center"/>
          </w:tcPr>
          <w:p w14:paraId="2E6751D6" w14:textId="77777777" w:rsidR="006B6009" w:rsidRPr="00140C7C" w:rsidRDefault="006B6009" w:rsidP="00504A09">
            <w:pPr>
              <w:pStyle w:val="TableText"/>
              <w:jc w:val="center"/>
            </w:pPr>
          </w:p>
        </w:tc>
        <w:tc>
          <w:tcPr>
            <w:tcW w:w="1754" w:type="dxa"/>
            <w:vAlign w:val="center"/>
          </w:tcPr>
          <w:p w14:paraId="4CBB5D6A" w14:textId="77777777" w:rsidR="006B6009" w:rsidRPr="00140C7C" w:rsidRDefault="2A9278A2" w:rsidP="00504A09">
            <w:pPr>
              <w:pStyle w:val="TableText"/>
              <w:jc w:val="center"/>
            </w:pPr>
            <w:r w:rsidRPr="00140C7C">
              <w:t>X</w:t>
            </w:r>
          </w:p>
        </w:tc>
      </w:tr>
      <w:tr w:rsidR="006B6009" w:rsidRPr="00140C7C" w14:paraId="6ACA9F9F" w14:textId="77777777" w:rsidTr="003377C8">
        <w:tc>
          <w:tcPr>
            <w:tcW w:w="846" w:type="dxa"/>
            <w:shd w:val="clear" w:color="auto" w:fill="E0E0E0"/>
            <w:noWrap/>
            <w:vAlign w:val="center"/>
          </w:tcPr>
          <w:p w14:paraId="2E3BC8D9" w14:textId="77777777" w:rsidR="006B6009" w:rsidRPr="00140C7C" w:rsidRDefault="2A9278A2" w:rsidP="00504A09">
            <w:pPr>
              <w:pStyle w:val="TableText"/>
            </w:pPr>
            <w:r w:rsidRPr="00140C7C">
              <w:t>1A1b</w:t>
            </w:r>
          </w:p>
        </w:tc>
        <w:tc>
          <w:tcPr>
            <w:tcW w:w="3695" w:type="dxa"/>
            <w:shd w:val="clear" w:color="auto" w:fill="E0E0E0"/>
            <w:vAlign w:val="center"/>
          </w:tcPr>
          <w:p w14:paraId="46950386" w14:textId="77777777" w:rsidR="006B6009" w:rsidRPr="00140C7C" w:rsidRDefault="2A9278A2" w:rsidP="00504A09">
            <w:pPr>
              <w:pStyle w:val="TableText"/>
            </w:pPr>
            <w:r w:rsidRPr="00140C7C">
              <w:t>Petroleum refining</w:t>
            </w:r>
          </w:p>
        </w:tc>
        <w:tc>
          <w:tcPr>
            <w:tcW w:w="993" w:type="dxa"/>
            <w:vAlign w:val="center"/>
          </w:tcPr>
          <w:p w14:paraId="5DB50B96" w14:textId="77777777" w:rsidR="006B6009" w:rsidRPr="00140C7C" w:rsidRDefault="2A9278A2" w:rsidP="00504A09">
            <w:pPr>
              <w:pStyle w:val="TableText"/>
              <w:jc w:val="center"/>
            </w:pPr>
            <w:r w:rsidRPr="00140C7C">
              <w:t>NO</w:t>
            </w:r>
          </w:p>
        </w:tc>
        <w:tc>
          <w:tcPr>
            <w:tcW w:w="992" w:type="dxa"/>
            <w:vAlign w:val="center"/>
          </w:tcPr>
          <w:p w14:paraId="058A6684" w14:textId="77777777" w:rsidR="006B6009" w:rsidRPr="00140C7C" w:rsidRDefault="006B6009" w:rsidP="00504A09">
            <w:pPr>
              <w:pStyle w:val="TableText"/>
              <w:jc w:val="center"/>
            </w:pPr>
          </w:p>
        </w:tc>
        <w:tc>
          <w:tcPr>
            <w:tcW w:w="1754" w:type="dxa"/>
            <w:vAlign w:val="center"/>
          </w:tcPr>
          <w:p w14:paraId="298B9472" w14:textId="77777777" w:rsidR="006B6009" w:rsidRPr="00140C7C" w:rsidRDefault="006B6009" w:rsidP="00504A09">
            <w:pPr>
              <w:pStyle w:val="TableText"/>
              <w:jc w:val="center"/>
            </w:pPr>
          </w:p>
        </w:tc>
      </w:tr>
      <w:tr w:rsidR="006B6009" w:rsidRPr="00140C7C" w14:paraId="325E6B38" w14:textId="77777777" w:rsidTr="003377C8">
        <w:tc>
          <w:tcPr>
            <w:tcW w:w="846" w:type="dxa"/>
            <w:shd w:val="clear" w:color="auto" w:fill="E0E0E0"/>
            <w:noWrap/>
            <w:vAlign w:val="center"/>
          </w:tcPr>
          <w:p w14:paraId="7A5A782A" w14:textId="77777777" w:rsidR="006B6009" w:rsidRPr="00140C7C" w:rsidRDefault="2A9278A2" w:rsidP="00504A09">
            <w:pPr>
              <w:pStyle w:val="TableText"/>
            </w:pPr>
            <w:r w:rsidRPr="00140C7C">
              <w:t>1A1c</w:t>
            </w:r>
          </w:p>
        </w:tc>
        <w:tc>
          <w:tcPr>
            <w:tcW w:w="3695" w:type="dxa"/>
            <w:shd w:val="clear" w:color="auto" w:fill="E0E0E0"/>
            <w:vAlign w:val="center"/>
          </w:tcPr>
          <w:p w14:paraId="7BC0E88D" w14:textId="77777777" w:rsidR="006B6009" w:rsidRPr="00140C7C" w:rsidRDefault="2A9278A2" w:rsidP="00504A09">
            <w:pPr>
              <w:pStyle w:val="TableText"/>
            </w:pPr>
            <w:r w:rsidRPr="00140C7C">
              <w:t>Manufacture of solid fuels and other energy industries</w:t>
            </w:r>
          </w:p>
        </w:tc>
        <w:tc>
          <w:tcPr>
            <w:tcW w:w="993" w:type="dxa"/>
            <w:vAlign w:val="center"/>
          </w:tcPr>
          <w:p w14:paraId="32A66ED2" w14:textId="77777777" w:rsidR="006B6009" w:rsidRPr="00140C7C" w:rsidRDefault="2A9278A2" w:rsidP="00504A09">
            <w:pPr>
              <w:pStyle w:val="TableText"/>
              <w:jc w:val="center"/>
            </w:pPr>
            <w:r w:rsidRPr="00140C7C">
              <w:t>NE</w:t>
            </w:r>
          </w:p>
        </w:tc>
        <w:tc>
          <w:tcPr>
            <w:tcW w:w="992" w:type="dxa"/>
            <w:vAlign w:val="center"/>
          </w:tcPr>
          <w:p w14:paraId="35F64309" w14:textId="77777777" w:rsidR="006B6009" w:rsidRPr="00140C7C" w:rsidRDefault="006B6009" w:rsidP="00504A09">
            <w:pPr>
              <w:pStyle w:val="TableText"/>
              <w:jc w:val="center"/>
            </w:pPr>
          </w:p>
        </w:tc>
        <w:tc>
          <w:tcPr>
            <w:tcW w:w="1754" w:type="dxa"/>
            <w:vAlign w:val="center"/>
          </w:tcPr>
          <w:p w14:paraId="43767474" w14:textId="77777777" w:rsidR="006B6009" w:rsidRPr="00140C7C" w:rsidRDefault="006B6009" w:rsidP="00504A09">
            <w:pPr>
              <w:pStyle w:val="TableText"/>
              <w:jc w:val="center"/>
            </w:pPr>
          </w:p>
        </w:tc>
      </w:tr>
      <w:tr w:rsidR="006B6009" w:rsidRPr="00140C7C" w14:paraId="47E23F21" w14:textId="77777777" w:rsidTr="003377C8">
        <w:tc>
          <w:tcPr>
            <w:tcW w:w="846" w:type="dxa"/>
            <w:shd w:val="clear" w:color="auto" w:fill="E0E0E0"/>
            <w:noWrap/>
            <w:vAlign w:val="center"/>
          </w:tcPr>
          <w:p w14:paraId="6B441E74" w14:textId="77777777" w:rsidR="006B6009" w:rsidRPr="00140C7C" w:rsidRDefault="2A9278A2" w:rsidP="00504A09">
            <w:pPr>
              <w:pStyle w:val="TableText"/>
            </w:pPr>
            <w:r w:rsidRPr="00140C7C">
              <w:t>1A2a</w:t>
            </w:r>
          </w:p>
        </w:tc>
        <w:tc>
          <w:tcPr>
            <w:tcW w:w="3695" w:type="dxa"/>
            <w:shd w:val="clear" w:color="auto" w:fill="E0E0E0"/>
            <w:vAlign w:val="center"/>
          </w:tcPr>
          <w:p w14:paraId="2F51438D" w14:textId="77777777" w:rsidR="006B6009" w:rsidRPr="00140C7C" w:rsidRDefault="2A9278A2" w:rsidP="00504A09">
            <w:pPr>
              <w:pStyle w:val="TableText"/>
            </w:pPr>
            <w:r w:rsidRPr="00140C7C">
              <w:t>Iron and steel</w:t>
            </w:r>
          </w:p>
        </w:tc>
        <w:tc>
          <w:tcPr>
            <w:tcW w:w="993" w:type="dxa"/>
            <w:vAlign w:val="center"/>
          </w:tcPr>
          <w:p w14:paraId="5B9931FE" w14:textId="77777777" w:rsidR="006B6009" w:rsidRPr="00140C7C" w:rsidRDefault="2A9278A2" w:rsidP="00504A09">
            <w:pPr>
              <w:pStyle w:val="TableText"/>
              <w:jc w:val="center"/>
            </w:pPr>
            <w:r w:rsidRPr="00140C7C">
              <w:t>x</w:t>
            </w:r>
          </w:p>
        </w:tc>
        <w:tc>
          <w:tcPr>
            <w:tcW w:w="992" w:type="dxa"/>
            <w:vAlign w:val="center"/>
          </w:tcPr>
          <w:p w14:paraId="1F1FB8D7" w14:textId="77777777" w:rsidR="006B6009" w:rsidRPr="00140C7C" w:rsidRDefault="006B6009" w:rsidP="00504A09">
            <w:pPr>
              <w:pStyle w:val="TableText"/>
              <w:jc w:val="center"/>
            </w:pPr>
          </w:p>
        </w:tc>
        <w:tc>
          <w:tcPr>
            <w:tcW w:w="1754" w:type="dxa"/>
            <w:vAlign w:val="center"/>
          </w:tcPr>
          <w:p w14:paraId="1F02C23C" w14:textId="77777777" w:rsidR="006B6009" w:rsidRPr="00140C7C" w:rsidRDefault="006B6009" w:rsidP="00504A09">
            <w:pPr>
              <w:pStyle w:val="TableText"/>
              <w:jc w:val="center"/>
            </w:pPr>
          </w:p>
        </w:tc>
      </w:tr>
      <w:tr w:rsidR="006B6009" w:rsidRPr="00140C7C" w14:paraId="1FEB0B04" w14:textId="77777777" w:rsidTr="003377C8">
        <w:tc>
          <w:tcPr>
            <w:tcW w:w="846" w:type="dxa"/>
            <w:shd w:val="clear" w:color="auto" w:fill="E0E0E0"/>
            <w:noWrap/>
            <w:vAlign w:val="center"/>
          </w:tcPr>
          <w:p w14:paraId="4D9CABD4" w14:textId="77777777" w:rsidR="006B6009" w:rsidRPr="00140C7C" w:rsidRDefault="2A9278A2" w:rsidP="00504A09">
            <w:pPr>
              <w:pStyle w:val="TableText"/>
            </w:pPr>
            <w:r w:rsidRPr="00140C7C">
              <w:t>1A2b</w:t>
            </w:r>
          </w:p>
        </w:tc>
        <w:tc>
          <w:tcPr>
            <w:tcW w:w="3695" w:type="dxa"/>
            <w:shd w:val="clear" w:color="auto" w:fill="E0E0E0"/>
            <w:vAlign w:val="center"/>
          </w:tcPr>
          <w:p w14:paraId="0E78D1DD" w14:textId="77777777" w:rsidR="006B6009" w:rsidRPr="00140C7C" w:rsidRDefault="2A9278A2" w:rsidP="00504A09">
            <w:pPr>
              <w:pStyle w:val="TableText"/>
            </w:pPr>
            <w:r w:rsidRPr="00140C7C">
              <w:t>Non-ferrous metals</w:t>
            </w:r>
          </w:p>
        </w:tc>
        <w:tc>
          <w:tcPr>
            <w:tcW w:w="993" w:type="dxa"/>
            <w:vAlign w:val="center"/>
          </w:tcPr>
          <w:p w14:paraId="4C17C9B3" w14:textId="77777777" w:rsidR="006B6009" w:rsidRPr="00140C7C" w:rsidRDefault="2A9278A2" w:rsidP="00504A09">
            <w:pPr>
              <w:pStyle w:val="TableText"/>
              <w:jc w:val="center"/>
            </w:pPr>
            <w:r w:rsidRPr="00140C7C">
              <w:t>x</w:t>
            </w:r>
          </w:p>
        </w:tc>
        <w:tc>
          <w:tcPr>
            <w:tcW w:w="992" w:type="dxa"/>
            <w:vAlign w:val="center"/>
          </w:tcPr>
          <w:p w14:paraId="47A1BDA1" w14:textId="77777777" w:rsidR="006B6009" w:rsidRPr="00140C7C" w:rsidRDefault="006B6009" w:rsidP="00504A09">
            <w:pPr>
              <w:pStyle w:val="TableText"/>
              <w:jc w:val="center"/>
            </w:pPr>
          </w:p>
        </w:tc>
        <w:tc>
          <w:tcPr>
            <w:tcW w:w="1754" w:type="dxa"/>
            <w:vAlign w:val="center"/>
          </w:tcPr>
          <w:p w14:paraId="22F4AF05" w14:textId="77777777" w:rsidR="006B6009" w:rsidRPr="00140C7C" w:rsidRDefault="006B6009" w:rsidP="00504A09">
            <w:pPr>
              <w:pStyle w:val="TableText"/>
              <w:jc w:val="center"/>
            </w:pPr>
          </w:p>
        </w:tc>
      </w:tr>
      <w:tr w:rsidR="006B6009" w:rsidRPr="00140C7C" w14:paraId="11F5DF4E" w14:textId="77777777" w:rsidTr="003377C8">
        <w:tc>
          <w:tcPr>
            <w:tcW w:w="846" w:type="dxa"/>
            <w:shd w:val="clear" w:color="auto" w:fill="E0E0E0"/>
            <w:noWrap/>
            <w:vAlign w:val="center"/>
          </w:tcPr>
          <w:p w14:paraId="171254C6" w14:textId="77777777" w:rsidR="006B6009" w:rsidRPr="00140C7C" w:rsidRDefault="2A9278A2" w:rsidP="00504A09">
            <w:pPr>
              <w:pStyle w:val="TableText"/>
            </w:pPr>
            <w:r w:rsidRPr="00140C7C">
              <w:t>1A2c</w:t>
            </w:r>
          </w:p>
        </w:tc>
        <w:tc>
          <w:tcPr>
            <w:tcW w:w="3695" w:type="dxa"/>
            <w:shd w:val="clear" w:color="auto" w:fill="E0E0E0"/>
            <w:vAlign w:val="center"/>
          </w:tcPr>
          <w:p w14:paraId="354AEBE0" w14:textId="77777777" w:rsidR="006B6009" w:rsidRPr="00140C7C" w:rsidRDefault="2A9278A2" w:rsidP="00504A09">
            <w:pPr>
              <w:pStyle w:val="TableText"/>
            </w:pPr>
            <w:r w:rsidRPr="00140C7C">
              <w:t>Chemicals</w:t>
            </w:r>
          </w:p>
        </w:tc>
        <w:tc>
          <w:tcPr>
            <w:tcW w:w="993" w:type="dxa"/>
            <w:vAlign w:val="center"/>
          </w:tcPr>
          <w:p w14:paraId="1647AFD8" w14:textId="77777777" w:rsidR="006B6009" w:rsidRPr="00140C7C" w:rsidRDefault="2A9278A2" w:rsidP="00504A09">
            <w:pPr>
              <w:pStyle w:val="TableText"/>
              <w:jc w:val="center"/>
            </w:pPr>
            <w:r w:rsidRPr="00140C7C">
              <w:t>x</w:t>
            </w:r>
          </w:p>
        </w:tc>
        <w:tc>
          <w:tcPr>
            <w:tcW w:w="992" w:type="dxa"/>
            <w:vAlign w:val="center"/>
          </w:tcPr>
          <w:p w14:paraId="57319F2D" w14:textId="77777777" w:rsidR="006B6009" w:rsidRPr="00140C7C" w:rsidRDefault="006B6009" w:rsidP="00504A09">
            <w:pPr>
              <w:pStyle w:val="TableText"/>
              <w:jc w:val="center"/>
            </w:pPr>
          </w:p>
        </w:tc>
        <w:tc>
          <w:tcPr>
            <w:tcW w:w="1754" w:type="dxa"/>
            <w:vAlign w:val="center"/>
          </w:tcPr>
          <w:p w14:paraId="25B4538C" w14:textId="77777777" w:rsidR="006B6009" w:rsidRPr="00140C7C" w:rsidRDefault="2A9278A2" w:rsidP="00504A09">
            <w:pPr>
              <w:pStyle w:val="TableText"/>
              <w:jc w:val="center"/>
            </w:pPr>
            <w:r w:rsidRPr="00140C7C">
              <w:t>X</w:t>
            </w:r>
          </w:p>
        </w:tc>
      </w:tr>
      <w:tr w:rsidR="006B6009" w:rsidRPr="00140C7C" w14:paraId="79A0922F" w14:textId="77777777" w:rsidTr="003377C8">
        <w:tc>
          <w:tcPr>
            <w:tcW w:w="846" w:type="dxa"/>
            <w:shd w:val="clear" w:color="auto" w:fill="E0E0E0"/>
            <w:noWrap/>
            <w:vAlign w:val="center"/>
          </w:tcPr>
          <w:p w14:paraId="208464B7" w14:textId="77777777" w:rsidR="006B6009" w:rsidRPr="00140C7C" w:rsidRDefault="2A9278A2" w:rsidP="00504A09">
            <w:pPr>
              <w:pStyle w:val="TableText"/>
            </w:pPr>
            <w:r w:rsidRPr="00140C7C">
              <w:t>1A2d</w:t>
            </w:r>
          </w:p>
        </w:tc>
        <w:tc>
          <w:tcPr>
            <w:tcW w:w="3695" w:type="dxa"/>
            <w:shd w:val="clear" w:color="auto" w:fill="E0E0E0"/>
            <w:vAlign w:val="center"/>
          </w:tcPr>
          <w:p w14:paraId="12188EDC" w14:textId="77777777" w:rsidR="006B6009" w:rsidRPr="00140C7C" w:rsidRDefault="2A9278A2" w:rsidP="00504A09">
            <w:pPr>
              <w:pStyle w:val="TableText"/>
            </w:pPr>
            <w:r w:rsidRPr="00140C7C">
              <w:t>Pulp, Paper and Print</w:t>
            </w:r>
          </w:p>
        </w:tc>
        <w:tc>
          <w:tcPr>
            <w:tcW w:w="993" w:type="dxa"/>
            <w:vAlign w:val="center"/>
          </w:tcPr>
          <w:p w14:paraId="532D413F" w14:textId="77777777" w:rsidR="006B6009" w:rsidRPr="00140C7C" w:rsidRDefault="2A9278A2" w:rsidP="00504A09">
            <w:pPr>
              <w:pStyle w:val="TableText"/>
              <w:jc w:val="center"/>
            </w:pPr>
            <w:r w:rsidRPr="00140C7C">
              <w:t>x</w:t>
            </w:r>
          </w:p>
        </w:tc>
        <w:tc>
          <w:tcPr>
            <w:tcW w:w="992" w:type="dxa"/>
            <w:vAlign w:val="center"/>
          </w:tcPr>
          <w:p w14:paraId="0A2CF7FD" w14:textId="77777777" w:rsidR="006B6009" w:rsidRPr="00140C7C" w:rsidRDefault="006B6009" w:rsidP="00504A09">
            <w:pPr>
              <w:pStyle w:val="TableText"/>
              <w:jc w:val="center"/>
            </w:pPr>
          </w:p>
        </w:tc>
        <w:tc>
          <w:tcPr>
            <w:tcW w:w="1754" w:type="dxa"/>
            <w:vAlign w:val="center"/>
          </w:tcPr>
          <w:p w14:paraId="7A32602D" w14:textId="77777777" w:rsidR="006B6009" w:rsidRPr="00140C7C" w:rsidRDefault="006B6009" w:rsidP="00504A09">
            <w:pPr>
              <w:pStyle w:val="TableText"/>
              <w:jc w:val="center"/>
            </w:pPr>
          </w:p>
        </w:tc>
      </w:tr>
      <w:tr w:rsidR="006B6009" w:rsidRPr="00140C7C" w14:paraId="0BA397B7" w14:textId="77777777" w:rsidTr="003377C8">
        <w:tc>
          <w:tcPr>
            <w:tcW w:w="846" w:type="dxa"/>
            <w:shd w:val="clear" w:color="auto" w:fill="E0E0E0"/>
            <w:noWrap/>
            <w:vAlign w:val="center"/>
          </w:tcPr>
          <w:p w14:paraId="20150E63" w14:textId="77777777" w:rsidR="006B6009" w:rsidRPr="00140C7C" w:rsidRDefault="2A9278A2" w:rsidP="00504A09">
            <w:pPr>
              <w:pStyle w:val="TableText"/>
            </w:pPr>
            <w:r w:rsidRPr="00140C7C">
              <w:t>1A2e</w:t>
            </w:r>
          </w:p>
        </w:tc>
        <w:tc>
          <w:tcPr>
            <w:tcW w:w="3695" w:type="dxa"/>
            <w:shd w:val="clear" w:color="auto" w:fill="E0E0E0"/>
            <w:vAlign w:val="center"/>
          </w:tcPr>
          <w:p w14:paraId="62D5A270" w14:textId="77777777" w:rsidR="006B6009" w:rsidRPr="00140C7C" w:rsidRDefault="2A9278A2" w:rsidP="00504A09">
            <w:pPr>
              <w:pStyle w:val="TableText"/>
            </w:pPr>
            <w:r w:rsidRPr="00140C7C">
              <w:t>Food processing, beverages and tobacco</w:t>
            </w:r>
          </w:p>
        </w:tc>
        <w:tc>
          <w:tcPr>
            <w:tcW w:w="993" w:type="dxa"/>
            <w:vAlign w:val="center"/>
          </w:tcPr>
          <w:p w14:paraId="38C57E8D" w14:textId="77777777" w:rsidR="006B6009" w:rsidRPr="00140C7C" w:rsidRDefault="2A9278A2" w:rsidP="00504A09">
            <w:pPr>
              <w:pStyle w:val="TableText"/>
              <w:jc w:val="center"/>
            </w:pPr>
            <w:r w:rsidRPr="00140C7C">
              <w:t>x</w:t>
            </w:r>
          </w:p>
        </w:tc>
        <w:tc>
          <w:tcPr>
            <w:tcW w:w="992" w:type="dxa"/>
            <w:vAlign w:val="center"/>
          </w:tcPr>
          <w:p w14:paraId="0B94B53A" w14:textId="77777777" w:rsidR="006B6009" w:rsidRPr="00140C7C" w:rsidRDefault="006B6009" w:rsidP="00504A09">
            <w:pPr>
              <w:pStyle w:val="TableText"/>
              <w:jc w:val="center"/>
            </w:pPr>
          </w:p>
        </w:tc>
        <w:tc>
          <w:tcPr>
            <w:tcW w:w="1754" w:type="dxa"/>
            <w:vAlign w:val="center"/>
          </w:tcPr>
          <w:p w14:paraId="62F928EB" w14:textId="77777777" w:rsidR="006B6009" w:rsidRPr="00140C7C" w:rsidRDefault="2A9278A2" w:rsidP="00504A09">
            <w:pPr>
              <w:pStyle w:val="TableText"/>
              <w:jc w:val="center"/>
            </w:pPr>
            <w:r w:rsidRPr="00140C7C">
              <w:t>X</w:t>
            </w:r>
          </w:p>
        </w:tc>
      </w:tr>
      <w:tr w:rsidR="006B6009" w:rsidRPr="00140C7C" w14:paraId="40756762" w14:textId="77777777" w:rsidTr="003377C8">
        <w:tc>
          <w:tcPr>
            <w:tcW w:w="846" w:type="dxa"/>
            <w:shd w:val="clear" w:color="auto" w:fill="E0E0E0"/>
            <w:noWrap/>
            <w:vAlign w:val="center"/>
          </w:tcPr>
          <w:p w14:paraId="1E0000E1" w14:textId="77777777" w:rsidR="006B6009" w:rsidRPr="00140C7C" w:rsidRDefault="2A9278A2" w:rsidP="00504A09">
            <w:pPr>
              <w:pStyle w:val="TableText"/>
            </w:pPr>
            <w:r w:rsidRPr="00140C7C">
              <w:t>1A2f</w:t>
            </w:r>
          </w:p>
        </w:tc>
        <w:tc>
          <w:tcPr>
            <w:tcW w:w="3695" w:type="dxa"/>
            <w:shd w:val="clear" w:color="auto" w:fill="E0E0E0"/>
            <w:vAlign w:val="center"/>
          </w:tcPr>
          <w:p w14:paraId="012E7077" w14:textId="77777777" w:rsidR="006B6009" w:rsidRPr="00140C7C" w:rsidRDefault="2A9278A2" w:rsidP="00504A09">
            <w:pPr>
              <w:pStyle w:val="TableText"/>
            </w:pPr>
            <w:r w:rsidRPr="00140C7C">
              <w:t>Stationary combustion in manufacturing industries and construction: Non-metallic minerals</w:t>
            </w:r>
          </w:p>
        </w:tc>
        <w:tc>
          <w:tcPr>
            <w:tcW w:w="993" w:type="dxa"/>
            <w:vAlign w:val="center"/>
          </w:tcPr>
          <w:p w14:paraId="6D9D2599" w14:textId="77777777" w:rsidR="006B6009" w:rsidRPr="00140C7C" w:rsidRDefault="2A9278A2" w:rsidP="00504A09">
            <w:pPr>
              <w:pStyle w:val="TableText"/>
              <w:jc w:val="center"/>
            </w:pPr>
            <w:r w:rsidRPr="00140C7C">
              <w:t>x</w:t>
            </w:r>
          </w:p>
        </w:tc>
        <w:tc>
          <w:tcPr>
            <w:tcW w:w="992" w:type="dxa"/>
            <w:vAlign w:val="center"/>
          </w:tcPr>
          <w:p w14:paraId="40B84A68" w14:textId="77777777" w:rsidR="006B6009" w:rsidRPr="00140C7C" w:rsidRDefault="006B6009" w:rsidP="00504A09">
            <w:pPr>
              <w:pStyle w:val="TableText"/>
              <w:jc w:val="center"/>
            </w:pPr>
          </w:p>
        </w:tc>
        <w:tc>
          <w:tcPr>
            <w:tcW w:w="1754" w:type="dxa"/>
            <w:vAlign w:val="center"/>
          </w:tcPr>
          <w:p w14:paraId="790B457B" w14:textId="77777777" w:rsidR="006B6009" w:rsidRPr="00140C7C" w:rsidRDefault="006B6009" w:rsidP="00504A09">
            <w:pPr>
              <w:pStyle w:val="TableText"/>
              <w:jc w:val="center"/>
            </w:pPr>
          </w:p>
        </w:tc>
      </w:tr>
      <w:tr w:rsidR="006B6009" w:rsidRPr="00140C7C" w14:paraId="133B2351" w14:textId="77777777" w:rsidTr="003377C8">
        <w:tc>
          <w:tcPr>
            <w:tcW w:w="846" w:type="dxa"/>
            <w:shd w:val="clear" w:color="auto" w:fill="E0E0E0"/>
            <w:noWrap/>
            <w:vAlign w:val="center"/>
          </w:tcPr>
          <w:p w14:paraId="730C036C" w14:textId="77777777" w:rsidR="006B6009" w:rsidRPr="00140C7C" w:rsidRDefault="2A9278A2" w:rsidP="00504A09">
            <w:pPr>
              <w:pStyle w:val="TableText"/>
            </w:pPr>
            <w:r w:rsidRPr="00140C7C">
              <w:t>1A2gviii</w:t>
            </w:r>
          </w:p>
        </w:tc>
        <w:tc>
          <w:tcPr>
            <w:tcW w:w="3695" w:type="dxa"/>
            <w:shd w:val="clear" w:color="auto" w:fill="E0E0E0"/>
            <w:vAlign w:val="center"/>
          </w:tcPr>
          <w:p w14:paraId="2EEC4ADC" w14:textId="77777777" w:rsidR="006B6009" w:rsidRPr="00140C7C" w:rsidRDefault="2A9278A2" w:rsidP="00504A09">
            <w:pPr>
              <w:pStyle w:val="TableText"/>
            </w:pPr>
            <w:r w:rsidRPr="00140C7C">
              <w:t>Stationary combustion in manufacturing industries and construction: Other</w:t>
            </w:r>
          </w:p>
        </w:tc>
        <w:tc>
          <w:tcPr>
            <w:tcW w:w="993" w:type="dxa"/>
            <w:vAlign w:val="center"/>
          </w:tcPr>
          <w:p w14:paraId="3A00A0E1" w14:textId="77777777" w:rsidR="006B6009" w:rsidRPr="00140C7C" w:rsidRDefault="2A9278A2" w:rsidP="00504A09">
            <w:pPr>
              <w:pStyle w:val="TableText"/>
              <w:jc w:val="center"/>
            </w:pPr>
            <w:r w:rsidRPr="00140C7C">
              <w:t>x</w:t>
            </w:r>
          </w:p>
        </w:tc>
        <w:tc>
          <w:tcPr>
            <w:tcW w:w="992" w:type="dxa"/>
            <w:vAlign w:val="center"/>
          </w:tcPr>
          <w:p w14:paraId="4528B21A" w14:textId="77777777" w:rsidR="006B6009" w:rsidRPr="00140C7C" w:rsidRDefault="006B6009" w:rsidP="00504A09">
            <w:pPr>
              <w:pStyle w:val="TableText"/>
              <w:jc w:val="center"/>
            </w:pPr>
          </w:p>
        </w:tc>
        <w:tc>
          <w:tcPr>
            <w:tcW w:w="1754" w:type="dxa"/>
            <w:vAlign w:val="center"/>
          </w:tcPr>
          <w:p w14:paraId="45456B88" w14:textId="77777777" w:rsidR="006B6009" w:rsidRPr="00140C7C" w:rsidRDefault="006B6009" w:rsidP="00504A09">
            <w:pPr>
              <w:pStyle w:val="TableText"/>
              <w:jc w:val="center"/>
            </w:pPr>
          </w:p>
        </w:tc>
      </w:tr>
      <w:tr w:rsidR="006B6009" w:rsidRPr="00140C7C" w14:paraId="172ED73D" w14:textId="77777777" w:rsidTr="003377C8">
        <w:trPr>
          <w:trHeight w:val="255"/>
        </w:trPr>
        <w:tc>
          <w:tcPr>
            <w:tcW w:w="846" w:type="dxa"/>
            <w:shd w:val="clear" w:color="auto" w:fill="E0E0E0"/>
            <w:noWrap/>
            <w:vAlign w:val="center"/>
          </w:tcPr>
          <w:p w14:paraId="5EC684E9" w14:textId="77777777" w:rsidR="006B6009" w:rsidRPr="00140C7C" w:rsidRDefault="2A9278A2" w:rsidP="00504A09">
            <w:pPr>
              <w:pStyle w:val="TableText"/>
            </w:pPr>
            <w:r w:rsidRPr="00140C7C">
              <w:t>1A3ei</w:t>
            </w:r>
          </w:p>
        </w:tc>
        <w:tc>
          <w:tcPr>
            <w:tcW w:w="3695" w:type="dxa"/>
            <w:shd w:val="clear" w:color="auto" w:fill="E0E0E0"/>
            <w:vAlign w:val="center"/>
          </w:tcPr>
          <w:p w14:paraId="00E5B81D" w14:textId="77777777" w:rsidR="006B6009" w:rsidRPr="00140C7C" w:rsidRDefault="2A9278A2" w:rsidP="00504A09">
            <w:pPr>
              <w:pStyle w:val="TableText"/>
            </w:pPr>
            <w:r w:rsidRPr="00140C7C">
              <w:t>Pipeline transport</w:t>
            </w:r>
          </w:p>
        </w:tc>
        <w:tc>
          <w:tcPr>
            <w:tcW w:w="993" w:type="dxa"/>
            <w:vAlign w:val="center"/>
          </w:tcPr>
          <w:p w14:paraId="07D4DF5E" w14:textId="77777777" w:rsidR="006B6009" w:rsidRPr="00140C7C" w:rsidRDefault="2A9278A2" w:rsidP="00504A09">
            <w:pPr>
              <w:pStyle w:val="TableText"/>
              <w:jc w:val="center"/>
            </w:pPr>
            <w:r w:rsidRPr="00140C7C">
              <w:t>NO</w:t>
            </w:r>
          </w:p>
        </w:tc>
        <w:tc>
          <w:tcPr>
            <w:tcW w:w="992" w:type="dxa"/>
            <w:vAlign w:val="center"/>
          </w:tcPr>
          <w:p w14:paraId="0C89E0C9" w14:textId="77777777" w:rsidR="006B6009" w:rsidRPr="00140C7C" w:rsidRDefault="006B6009" w:rsidP="00504A09">
            <w:pPr>
              <w:pStyle w:val="TableText"/>
              <w:jc w:val="center"/>
            </w:pPr>
          </w:p>
        </w:tc>
        <w:tc>
          <w:tcPr>
            <w:tcW w:w="1754" w:type="dxa"/>
            <w:vAlign w:val="center"/>
          </w:tcPr>
          <w:p w14:paraId="20813083" w14:textId="77777777" w:rsidR="006B6009" w:rsidRPr="00140C7C" w:rsidRDefault="006B6009" w:rsidP="00504A09">
            <w:pPr>
              <w:pStyle w:val="TableText"/>
              <w:jc w:val="center"/>
            </w:pPr>
          </w:p>
        </w:tc>
      </w:tr>
      <w:tr w:rsidR="006B6009" w:rsidRPr="00140C7C" w14:paraId="36254477" w14:textId="77777777" w:rsidTr="003377C8">
        <w:trPr>
          <w:trHeight w:val="255"/>
        </w:trPr>
        <w:tc>
          <w:tcPr>
            <w:tcW w:w="846" w:type="dxa"/>
            <w:shd w:val="clear" w:color="auto" w:fill="E0E0E0"/>
            <w:noWrap/>
            <w:vAlign w:val="center"/>
          </w:tcPr>
          <w:p w14:paraId="7B03FF7C" w14:textId="77777777" w:rsidR="006B6009" w:rsidRPr="00140C7C" w:rsidRDefault="2A9278A2" w:rsidP="00504A09">
            <w:pPr>
              <w:pStyle w:val="TableText"/>
            </w:pPr>
            <w:r w:rsidRPr="00140C7C">
              <w:t>1A3eii</w:t>
            </w:r>
          </w:p>
        </w:tc>
        <w:tc>
          <w:tcPr>
            <w:tcW w:w="3695" w:type="dxa"/>
            <w:shd w:val="clear" w:color="auto" w:fill="E0E0E0"/>
            <w:vAlign w:val="center"/>
          </w:tcPr>
          <w:p w14:paraId="636D22B5" w14:textId="77777777" w:rsidR="006B6009" w:rsidRPr="00140C7C" w:rsidRDefault="2A9278A2" w:rsidP="00504A09">
            <w:pPr>
              <w:pStyle w:val="TableText"/>
            </w:pPr>
            <w:r w:rsidRPr="00140C7C">
              <w:t>Other</w:t>
            </w:r>
          </w:p>
        </w:tc>
        <w:tc>
          <w:tcPr>
            <w:tcW w:w="993" w:type="dxa"/>
            <w:vAlign w:val="center"/>
          </w:tcPr>
          <w:p w14:paraId="6CD95623" w14:textId="77777777" w:rsidR="006B6009" w:rsidRPr="00140C7C" w:rsidRDefault="2A9278A2" w:rsidP="00504A09">
            <w:pPr>
              <w:pStyle w:val="TableText"/>
              <w:jc w:val="center"/>
            </w:pPr>
            <w:r w:rsidRPr="00140C7C">
              <w:t>NO</w:t>
            </w:r>
          </w:p>
        </w:tc>
        <w:tc>
          <w:tcPr>
            <w:tcW w:w="992" w:type="dxa"/>
            <w:vAlign w:val="center"/>
          </w:tcPr>
          <w:p w14:paraId="68CA7B7E" w14:textId="77777777" w:rsidR="006B6009" w:rsidRPr="00140C7C" w:rsidRDefault="006B6009" w:rsidP="00504A09">
            <w:pPr>
              <w:pStyle w:val="TableText"/>
              <w:jc w:val="center"/>
            </w:pPr>
          </w:p>
        </w:tc>
        <w:tc>
          <w:tcPr>
            <w:tcW w:w="1754" w:type="dxa"/>
            <w:vAlign w:val="center"/>
          </w:tcPr>
          <w:p w14:paraId="3AF07780" w14:textId="77777777" w:rsidR="006B6009" w:rsidRPr="00140C7C" w:rsidRDefault="006B6009" w:rsidP="00504A09">
            <w:pPr>
              <w:pStyle w:val="TableText"/>
              <w:jc w:val="center"/>
            </w:pPr>
          </w:p>
        </w:tc>
      </w:tr>
      <w:tr w:rsidR="006B6009" w:rsidRPr="00140C7C" w14:paraId="42978E22" w14:textId="77777777" w:rsidTr="003377C8">
        <w:tc>
          <w:tcPr>
            <w:tcW w:w="846" w:type="dxa"/>
            <w:shd w:val="clear" w:color="auto" w:fill="E0E0E0"/>
            <w:noWrap/>
            <w:vAlign w:val="center"/>
          </w:tcPr>
          <w:p w14:paraId="4EC05056" w14:textId="77777777" w:rsidR="006B6009" w:rsidRPr="00140C7C" w:rsidRDefault="2A9278A2" w:rsidP="00504A09">
            <w:pPr>
              <w:pStyle w:val="TableText"/>
            </w:pPr>
            <w:r w:rsidRPr="00140C7C">
              <w:t>1A4ai</w:t>
            </w:r>
          </w:p>
        </w:tc>
        <w:tc>
          <w:tcPr>
            <w:tcW w:w="3695" w:type="dxa"/>
            <w:shd w:val="clear" w:color="auto" w:fill="E0E0E0"/>
            <w:vAlign w:val="center"/>
          </w:tcPr>
          <w:p w14:paraId="42D6DB8B" w14:textId="77777777" w:rsidR="006B6009" w:rsidRPr="00140C7C" w:rsidRDefault="2A9278A2" w:rsidP="00504A09">
            <w:pPr>
              <w:pStyle w:val="TableText"/>
            </w:pPr>
            <w:r w:rsidRPr="00140C7C">
              <w:t>Commercial/institutional: Stationary</w:t>
            </w:r>
          </w:p>
        </w:tc>
        <w:tc>
          <w:tcPr>
            <w:tcW w:w="993" w:type="dxa"/>
            <w:vAlign w:val="center"/>
          </w:tcPr>
          <w:p w14:paraId="47B13757" w14:textId="77777777" w:rsidR="006B6009" w:rsidRPr="00140C7C" w:rsidRDefault="2A9278A2" w:rsidP="00504A09">
            <w:pPr>
              <w:pStyle w:val="TableText"/>
              <w:jc w:val="center"/>
            </w:pPr>
            <w:r w:rsidRPr="00140C7C">
              <w:t>x</w:t>
            </w:r>
          </w:p>
        </w:tc>
        <w:tc>
          <w:tcPr>
            <w:tcW w:w="992" w:type="dxa"/>
            <w:vAlign w:val="center"/>
          </w:tcPr>
          <w:p w14:paraId="74A4E842" w14:textId="77777777" w:rsidR="006B6009" w:rsidRPr="00140C7C" w:rsidRDefault="006B6009" w:rsidP="00504A09">
            <w:pPr>
              <w:pStyle w:val="TableText"/>
              <w:jc w:val="center"/>
            </w:pPr>
          </w:p>
        </w:tc>
        <w:tc>
          <w:tcPr>
            <w:tcW w:w="1754" w:type="dxa"/>
            <w:vAlign w:val="center"/>
          </w:tcPr>
          <w:p w14:paraId="756F1C24" w14:textId="77777777" w:rsidR="006B6009" w:rsidRPr="00140C7C" w:rsidRDefault="006B6009" w:rsidP="00504A09">
            <w:pPr>
              <w:pStyle w:val="TableText"/>
              <w:jc w:val="center"/>
            </w:pPr>
          </w:p>
        </w:tc>
      </w:tr>
      <w:tr w:rsidR="006B6009" w:rsidRPr="00140C7C" w14:paraId="441174C5" w14:textId="77777777" w:rsidTr="003377C8">
        <w:tc>
          <w:tcPr>
            <w:tcW w:w="846" w:type="dxa"/>
            <w:shd w:val="clear" w:color="auto" w:fill="E0E0E0"/>
            <w:noWrap/>
            <w:vAlign w:val="center"/>
          </w:tcPr>
          <w:p w14:paraId="4B348E56" w14:textId="77777777" w:rsidR="006B6009" w:rsidRPr="00140C7C" w:rsidRDefault="2A9278A2" w:rsidP="00504A09">
            <w:pPr>
              <w:pStyle w:val="TableText"/>
            </w:pPr>
            <w:r w:rsidRPr="00140C7C">
              <w:t>1A4bi</w:t>
            </w:r>
          </w:p>
        </w:tc>
        <w:tc>
          <w:tcPr>
            <w:tcW w:w="3695" w:type="dxa"/>
            <w:shd w:val="clear" w:color="auto" w:fill="E0E0E0"/>
            <w:vAlign w:val="center"/>
          </w:tcPr>
          <w:p w14:paraId="3A4546DE" w14:textId="77777777" w:rsidR="006B6009" w:rsidRPr="00140C7C" w:rsidRDefault="2A9278A2" w:rsidP="00504A09">
            <w:pPr>
              <w:pStyle w:val="TableText"/>
            </w:pPr>
            <w:r w:rsidRPr="00140C7C">
              <w:t>Residential: Stationary</w:t>
            </w:r>
          </w:p>
        </w:tc>
        <w:tc>
          <w:tcPr>
            <w:tcW w:w="993" w:type="dxa"/>
            <w:vAlign w:val="center"/>
          </w:tcPr>
          <w:p w14:paraId="0EBC9362" w14:textId="77777777" w:rsidR="006B6009" w:rsidRPr="00140C7C" w:rsidRDefault="2A9278A2" w:rsidP="00504A09">
            <w:pPr>
              <w:pStyle w:val="TableText"/>
              <w:jc w:val="center"/>
            </w:pPr>
            <w:r w:rsidRPr="00140C7C">
              <w:t>x</w:t>
            </w:r>
          </w:p>
        </w:tc>
        <w:tc>
          <w:tcPr>
            <w:tcW w:w="992" w:type="dxa"/>
            <w:vAlign w:val="center"/>
          </w:tcPr>
          <w:p w14:paraId="736EDD2E" w14:textId="77777777" w:rsidR="006B6009" w:rsidRPr="00140C7C" w:rsidRDefault="006B6009" w:rsidP="00504A09">
            <w:pPr>
              <w:pStyle w:val="TableText"/>
              <w:jc w:val="center"/>
            </w:pPr>
          </w:p>
        </w:tc>
        <w:tc>
          <w:tcPr>
            <w:tcW w:w="1754" w:type="dxa"/>
            <w:vAlign w:val="center"/>
          </w:tcPr>
          <w:p w14:paraId="7F2831F5" w14:textId="77777777" w:rsidR="006B6009" w:rsidRPr="00140C7C" w:rsidRDefault="2A9278A2" w:rsidP="00504A09">
            <w:pPr>
              <w:pStyle w:val="TableText"/>
              <w:jc w:val="center"/>
            </w:pPr>
            <w:r w:rsidRPr="00140C7C">
              <w:t>X</w:t>
            </w:r>
          </w:p>
        </w:tc>
      </w:tr>
      <w:tr w:rsidR="006B6009" w:rsidRPr="00140C7C" w14:paraId="3630A483" w14:textId="77777777" w:rsidTr="003377C8">
        <w:tc>
          <w:tcPr>
            <w:tcW w:w="846" w:type="dxa"/>
            <w:shd w:val="clear" w:color="auto" w:fill="E0E0E0"/>
            <w:noWrap/>
            <w:vAlign w:val="center"/>
          </w:tcPr>
          <w:p w14:paraId="6CB991A4" w14:textId="77777777" w:rsidR="006B6009" w:rsidRPr="00140C7C" w:rsidRDefault="2A9278A2" w:rsidP="00504A09">
            <w:pPr>
              <w:pStyle w:val="TableText"/>
            </w:pPr>
            <w:r w:rsidRPr="00140C7C">
              <w:t>1A4ci</w:t>
            </w:r>
          </w:p>
        </w:tc>
        <w:tc>
          <w:tcPr>
            <w:tcW w:w="3695" w:type="dxa"/>
            <w:shd w:val="clear" w:color="auto" w:fill="E0E0E0"/>
            <w:vAlign w:val="center"/>
          </w:tcPr>
          <w:p w14:paraId="261525E2" w14:textId="77777777" w:rsidR="006B6009" w:rsidRPr="00140C7C" w:rsidRDefault="2A9278A2" w:rsidP="00504A09">
            <w:pPr>
              <w:pStyle w:val="TableText"/>
            </w:pPr>
            <w:r w:rsidRPr="00140C7C">
              <w:t>Agriculture/Forestry/Fishing: Stationary</w:t>
            </w:r>
          </w:p>
        </w:tc>
        <w:tc>
          <w:tcPr>
            <w:tcW w:w="993" w:type="dxa"/>
            <w:vAlign w:val="center"/>
          </w:tcPr>
          <w:p w14:paraId="145B18C2" w14:textId="77777777" w:rsidR="006B6009" w:rsidRPr="00140C7C" w:rsidRDefault="2A9278A2" w:rsidP="00504A09">
            <w:pPr>
              <w:pStyle w:val="TableText"/>
              <w:jc w:val="center"/>
            </w:pPr>
            <w:r w:rsidRPr="00140C7C">
              <w:t>IE</w:t>
            </w:r>
          </w:p>
        </w:tc>
        <w:tc>
          <w:tcPr>
            <w:tcW w:w="992" w:type="dxa"/>
            <w:vAlign w:val="center"/>
          </w:tcPr>
          <w:p w14:paraId="05D19329" w14:textId="77777777" w:rsidR="006B6009" w:rsidRPr="00140C7C" w:rsidRDefault="006B6009" w:rsidP="00504A09">
            <w:pPr>
              <w:pStyle w:val="TableText"/>
              <w:jc w:val="center"/>
            </w:pPr>
          </w:p>
        </w:tc>
        <w:tc>
          <w:tcPr>
            <w:tcW w:w="1754" w:type="dxa"/>
            <w:vAlign w:val="center"/>
          </w:tcPr>
          <w:p w14:paraId="540746B6" w14:textId="77777777" w:rsidR="006B6009" w:rsidRPr="00140C7C" w:rsidRDefault="006B6009" w:rsidP="00504A09">
            <w:pPr>
              <w:pStyle w:val="TableText"/>
              <w:jc w:val="center"/>
            </w:pPr>
          </w:p>
        </w:tc>
      </w:tr>
      <w:tr w:rsidR="006B6009" w:rsidRPr="00140C7C" w14:paraId="5C07E018" w14:textId="77777777" w:rsidTr="003377C8">
        <w:tc>
          <w:tcPr>
            <w:tcW w:w="846" w:type="dxa"/>
            <w:shd w:val="clear" w:color="auto" w:fill="E0E0E0"/>
            <w:noWrap/>
            <w:vAlign w:val="center"/>
          </w:tcPr>
          <w:p w14:paraId="0323FAC1" w14:textId="77777777" w:rsidR="006B6009" w:rsidRPr="00140C7C" w:rsidRDefault="2A9278A2" w:rsidP="00504A09">
            <w:pPr>
              <w:pStyle w:val="TableText"/>
            </w:pPr>
            <w:r w:rsidRPr="00140C7C">
              <w:t>1A5a</w:t>
            </w:r>
          </w:p>
        </w:tc>
        <w:tc>
          <w:tcPr>
            <w:tcW w:w="3695" w:type="dxa"/>
            <w:shd w:val="clear" w:color="auto" w:fill="E0E0E0"/>
            <w:vAlign w:val="center"/>
          </w:tcPr>
          <w:p w14:paraId="16576454" w14:textId="77777777" w:rsidR="006B6009" w:rsidRPr="00140C7C" w:rsidRDefault="2A9278A2" w:rsidP="00504A09">
            <w:pPr>
              <w:pStyle w:val="TableText"/>
            </w:pPr>
            <w:r w:rsidRPr="00140C7C">
              <w:t>Other stationary (including military)</w:t>
            </w:r>
          </w:p>
        </w:tc>
        <w:tc>
          <w:tcPr>
            <w:tcW w:w="993" w:type="dxa"/>
            <w:vAlign w:val="center"/>
          </w:tcPr>
          <w:p w14:paraId="31B0B66C" w14:textId="77777777" w:rsidR="006B6009" w:rsidRPr="00140C7C" w:rsidRDefault="2A9278A2" w:rsidP="00504A09">
            <w:pPr>
              <w:pStyle w:val="TableText"/>
              <w:jc w:val="center"/>
            </w:pPr>
            <w:r w:rsidRPr="00140C7C">
              <w:t>NE</w:t>
            </w:r>
          </w:p>
        </w:tc>
        <w:tc>
          <w:tcPr>
            <w:tcW w:w="992" w:type="dxa"/>
            <w:vAlign w:val="center"/>
          </w:tcPr>
          <w:p w14:paraId="635317C9" w14:textId="77777777" w:rsidR="006B6009" w:rsidRPr="00140C7C" w:rsidRDefault="006B6009" w:rsidP="00504A09">
            <w:pPr>
              <w:pStyle w:val="TableText"/>
              <w:jc w:val="center"/>
            </w:pPr>
          </w:p>
        </w:tc>
        <w:tc>
          <w:tcPr>
            <w:tcW w:w="1754" w:type="dxa"/>
            <w:vAlign w:val="center"/>
          </w:tcPr>
          <w:p w14:paraId="05C46FF6" w14:textId="77777777" w:rsidR="006B6009" w:rsidRPr="00140C7C" w:rsidRDefault="006B6009" w:rsidP="00504A09">
            <w:pPr>
              <w:pStyle w:val="TableText"/>
              <w:jc w:val="center"/>
            </w:pPr>
          </w:p>
        </w:tc>
      </w:tr>
      <w:tr w:rsidR="006B6009" w:rsidRPr="00140C7C" w14:paraId="06E2409F" w14:textId="77777777" w:rsidTr="003377C8">
        <w:tc>
          <w:tcPr>
            <w:tcW w:w="846" w:type="dxa"/>
            <w:shd w:val="clear" w:color="auto" w:fill="E0E0E0"/>
            <w:noWrap/>
            <w:vAlign w:val="center"/>
          </w:tcPr>
          <w:p w14:paraId="352CED9C" w14:textId="77777777" w:rsidR="006B6009" w:rsidRPr="00140C7C" w:rsidRDefault="2A9278A2" w:rsidP="00504A09">
            <w:pPr>
              <w:pStyle w:val="TableText"/>
            </w:pPr>
            <w:r w:rsidRPr="00140C7C">
              <w:t>1B1a</w:t>
            </w:r>
          </w:p>
        </w:tc>
        <w:tc>
          <w:tcPr>
            <w:tcW w:w="3695" w:type="dxa"/>
            <w:shd w:val="clear" w:color="auto" w:fill="E0E0E0"/>
            <w:vAlign w:val="center"/>
          </w:tcPr>
          <w:p w14:paraId="17A43AF0" w14:textId="77777777" w:rsidR="006B6009" w:rsidRPr="00140C7C" w:rsidRDefault="2A9278A2" w:rsidP="00504A09">
            <w:pPr>
              <w:pStyle w:val="TableText"/>
            </w:pPr>
            <w:r w:rsidRPr="00140C7C">
              <w:t>Fugitive emission from solid fuels: Coal mining and handling</w:t>
            </w:r>
          </w:p>
        </w:tc>
        <w:tc>
          <w:tcPr>
            <w:tcW w:w="993" w:type="dxa"/>
            <w:vAlign w:val="center"/>
          </w:tcPr>
          <w:p w14:paraId="1275C4AF" w14:textId="77777777" w:rsidR="006B6009" w:rsidRPr="00140C7C" w:rsidRDefault="2A9278A2" w:rsidP="00504A09">
            <w:pPr>
              <w:pStyle w:val="TableText"/>
              <w:jc w:val="center"/>
            </w:pPr>
            <w:r w:rsidRPr="00140C7C">
              <w:t>x</w:t>
            </w:r>
          </w:p>
        </w:tc>
        <w:tc>
          <w:tcPr>
            <w:tcW w:w="992" w:type="dxa"/>
            <w:vAlign w:val="center"/>
          </w:tcPr>
          <w:p w14:paraId="4B072997" w14:textId="77777777" w:rsidR="006B6009" w:rsidRPr="00140C7C" w:rsidRDefault="006B6009" w:rsidP="00504A09">
            <w:pPr>
              <w:pStyle w:val="TableText"/>
              <w:jc w:val="center"/>
            </w:pPr>
          </w:p>
        </w:tc>
        <w:tc>
          <w:tcPr>
            <w:tcW w:w="1754" w:type="dxa"/>
            <w:vAlign w:val="center"/>
          </w:tcPr>
          <w:p w14:paraId="6CD372A6" w14:textId="77777777" w:rsidR="006B6009" w:rsidRPr="00140C7C" w:rsidRDefault="006B6009" w:rsidP="00504A09">
            <w:pPr>
              <w:pStyle w:val="TableText"/>
              <w:jc w:val="center"/>
            </w:pPr>
          </w:p>
        </w:tc>
      </w:tr>
      <w:tr w:rsidR="006B6009" w:rsidRPr="00140C7C" w14:paraId="53B31D75" w14:textId="77777777" w:rsidTr="003377C8">
        <w:tc>
          <w:tcPr>
            <w:tcW w:w="846" w:type="dxa"/>
            <w:shd w:val="clear" w:color="auto" w:fill="E0E0E0"/>
            <w:noWrap/>
            <w:vAlign w:val="center"/>
          </w:tcPr>
          <w:p w14:paraId="30D5C00C" w14:textId="77777777" w:rsidR="006B6009" w:rsidRPr="00140C7C" w:rsidRDefault="2A9278A2" w:rsidP="00504A09">
            <w:pPr>
              <w:pStyle w:val="TableText"/>
            </w:pPr>
            <w:r w:rsidRPr="00140C7C">
              <w:t>1B1b</w:t>
            </w:r>
          </w:p>
        </w:tc>
        <w:tc>
          <w:tcPr>
            <w:tcW w:w="3695" w:type="dxa"/>
            <w:shd w:val="clear" w:color="auto" w:fill="E0E0E0"/>
            <w:vAlign w:val="center"/>
          </w:tcPr>
          <w:p w14:paraId="13354D40" w14:textId="77777777" w:rsidR="006B6009" w:rsidRPr="00140C7C" w:rsidRDefault="2A9278A2" w:rsidP="00504A09">
            <w:pPr>
              <w:pStyle w:val="TableText"/>
            </w:pPr>
            <w:r w:rsidRPr="00140C7C">
              <w:t>Fugitive emission from solid fuels: Solid fuel transformation</w:t>
            </w:r>
          </w:p>
        </w:tc>
        <w:tc>
          <w:tcPr>
            <w:tcW w:w="993" w:type="dxa"/>
            <w:vAlign w:val="center"/>
          </w:tcPr>
          <w:p w14:paraId="7EE14F43" w14:textId="77777777" w:rsidR="006B6009" w:rsidRPr="00140C7C" w:rsidRDefault="2A9278A2" w:rsidP="00504A09">
            <w:pPr>
              <w:pStyle w:val="TableText"/>
              <w:jc w:val="center"/>
            </w:pPr>
            <w:r w:rsidRPr="00140C7C">
              <w:t>NO</w:t>
            </w:r>
          </w:p>
        </w:tc>
        <w:tc>
          <w:tcPr>
            <w:tcW w:w="992" w:type="dxa"/>
            <w:vAlign w:val="center"/>
          </w:tcPr>
          <w:p w14:paraId="24AAB454" w14:textId="77777777" w:rsidR="006B6009" w:rsidRPr="00140C7C" w:rsidRDefault="006B6009" w:rsidP="00504A09">
            <w:pPr>
              <w:pStyle w:val="TableText"/>
              <w:jc w:val="center"/>
            </w:pPr>
          </w:p>
        </w:tc>
        <w:tc>
          <w:tcPr>
            <w:tcW w:w="1754" w:type="dxa"/>
            <w:vAlign w:val="center"/>
          </w:tcPr>
          <w:p w14:paraId="43D4BF13" w14:textId="77777777" w:rsidR="006B6009" w:rsidRPr="00140C7C" w:rsidRDefault="006B6009" w:rsidP="00504A09">
            <w:pPr>
              <w:pStyle w:val="TableText"/>
              <w:jc w:val="center"/>
            </w:pPr>
          </w:p>
        </w:tc>
      </w:tr>
      <w:tr w:rsidR="006B6009" w:rsidRPr="00140C7C" w14:paraId="1309D7B6" w14:textId="77777777" w:rsidTr="003377C8">
        <w:tc>
          <w:tcPr>
            <w:tcW w:w="846" w:type="dxa"/>
            <w:shd w:val="clear" w:color="auto" w:fill="E0E0E0"/>
            <w:noWrap/>
            <w:vAlign w:val="center"/>
          </w:tcPr>
          <w:p w14:paraId="197DFE61" w14:textId="77777777" w:rsidR="006B6009" w:rsidRPr="00140C7C" w:rsidRDefault="2A9278A2" w:rsidP="00504A09">
            <w:pPr>
              <w:pStyle w:val="TableText"/>
            </w:pPr>
            <w:r w:rsidRPr="00140C7C">
              <w:t>1B1c</w:t>
            </w:r>
          </w:p>
        </w:tc>
        <w:tc>
          <w:tcPr>
            <w:tcW w:w="3695" w:type="dxa"/>
            <w:shd w:val="clear" w:color="auto" w:fill="E0E0E0"/>
            <w:vAlign w:val="center"/>
          </w:tcPr>
          <w:p w14:paraId="11947FCC" w14:textId="77777777" w:rsidR="006B6009" w:rsidRPr="00140C7C" w:rsidRDefault="2A9278A2" w:rsidP="00504A09">
            <w:pPr>
              <w:pStyle w:val="TableText"/>
            </w:pPr>
            <w:r w:rsidRPr="00140C7C">
              <w:t>Other fugitive emissions from solid fuels</w:t>
            </w:r>
          </w:p>
        </w:tc>
        <w:tc>
          <w:tcPr>
            <w:tcW w:w="993" w:type="dxa"/>
            <w:vAlign w:val="center"/>
          </w:tcPr>
          <w:p w14:paraId="08F75D33" w14:textId="77777777" w:rsidR="006B6009" w:rsidRPr="00140C7C" w:rsidRDefault="2A9278A2" w:rsidP="00504A09">
            <w:pPr>
              <w:pStyle w:val="TableText"/>
              <w:jc w:val="center"/>
            </w:pPr>
            <w:r w:rsidRPr="00140C7C">
              <w:t>NO</w:t>
            </w:r>
          </w:p>
        </w:tc>
        <w:tc>
          <w:tcPr>
            <w:tcW w:w="992" w:type="dxa"/>
            <w:vAlign w:val="center"/>
          </w:tcPr>
          <w:p w14:paraId="14BF27D3" w14:textId="77777777" w:rsidR="006B6009" w:rsidRPr="00140C7C" w:rsidRDefault="006B6009" w:rsidP="00504A09">
            <w:pPr>
              <w:pStyle w:val="TableText"/>
              <w:jc w:val="center"/>
            </w:pPr>
          </w:p>
        </w:tc>
        <w:tc>
          <w:tcPr>
            <w:tcW w:w="1754" w:type="dxa"/>
            <w:vAlign w:val="center"/>
          </w:tcPr>
          <w:p w14:paraId="04678945" w14:textId="77777777" w:rsidR="006B6009" w:rsidRPr="00140C7C" w:rsidRDefault="006B6009" w:rsidP="00504A09">
            <w:pPr>
              <w:pStyle w:val="TableText"/>
              <w:jc w:val="center"/>
            </w:pPr>
          </w:p>
        </w:tc>
      </w:tr>
      <w:tr w:rsidR="006B6009" w:rsidRPr="00140C7C" w14:paraId="060EAE11" w14:textId="77777777" w:rsidTr="003377C8">
        <w:tc>
          <w:tcPr>
            <w:tcW w:w="846" w:type="dxa"/>
            <w:shd w:val="clear" w:color="auto" w:fill="E0E0E0"/>
            <w:noWrap/>
            <w:vAlign w:val="center"/>
          </w:tcPr>
          <w:p w14:paraId="7BA52B11" w14:textId="77777777" w:rsidR="006B6009" w:rsidRPr="00140C7C" w:rsidRDefault="2A9278A2" w:rsidP="00504A09">
            <w:pPr>
              <w:pStyle w:val="TableText"/>
            </w:pPr>
            <w:r w:rsidRPr="00140C7C">
              <w:t>1B2ai</w:t>
            </w:r>
          </w:p>
        </w:tc>
        <w:tc>
          <w:tcPr>
            <w:tcW w:w="3695" w:type="dxa"/>
            <w:shd w:val="clear" w:color="auto" w:fill="E0E0E0"/>
            <w:vAlign w:val="center"/>
          </w:tcPr>
          <w:p w14:paraId="0A723619" w14:textId="77777777" w:rsidR="006B6009" w:rsidRPr="00140C7C" w:rsidRDefault="2A9278A2" w:rsidP="00504A09">
            <w:pPr>
              <w:pStyle w:val="TableText"/>
            </w:pPr>
            <w:r w:rsidRPr="00140C7C">
              <w:t>Fugitive emissions oil: Exploration, production, transport</w:t>
            </w:r>
          </w:p>
        </w:tc>
        <w:tc>
          <w:tcPr>
            <w:tcW w:w="993" w:type="dxa"/>
            <w:vAlign w:val="center"/>
          </w:tcPr>
          <w:p w14:paraId="5A920791" w14:textId="77777777" w:rsidR="006B6009" w:rsidRPr="00140C7C" w:rsidRDefault="2A9278A2" w:rsidP="00504A09">
            <w:pPr>
              <w:pStyle w:val="TableText"/>
              <w:jc w:val="center"/>
            </w:pPr>
            <w:r w:rsidRPr="00140C7C">
              <w:t>NO</w:t>
            </w:r>
          </w:p>
        </w:tc>
        <w:tc>
          <w:tcPr>
            <w:tcW w:w="992" w:type="dxa"/>
            <w:vAlign w:val="center"/>
          </w:tcPr>
          <w:p w14:paraId="2F391F24" w14:textId="77777777" w:rsidR="006B6009" w:rsidRPr="00140C7C" w:rsidRDefault="006B6009" w:rsidP="00504A09">
            <w:pPr>
              <w:pStyle w:val="TableText"/>
              <w:jc w:val="center"/>
            </w:pPr>
          </w:p>
        </w:tc>
        <w:tc>
          <w:tcPr>
            <w:tcW w:w="1754" w:type="dxa"/>
            <w:vAlign w:val="center"/>
          </w:tcPr>
          <w:p w14:paraId="3D6C7D46" w14:textId="77777777" w:rsidR="006B6009" w:rsidRPr="00140C7C" w:rsidRDefault="006B6009" w:rsidP="00504A09">
            <w:pPr>
              <w:pStyle w:val="TableText"/>
              <w:jc w:val="center"/>
            </w:pPr>
          </w:p>
        </w:tc>
      </w:tr>
      <w:tr w:rsidR="006B6009" w:rsidRPr="00140C7C" w14:paraId="513B19DB" w14:textId="77777777" w:rsidTr="003377C8">
        <w:tc>
          <w:tcPr>
            <w:tcW w:w="846" w:type="dxa"/>
            <w:shd w:val="clear" w:color="auto" w:fill="E0E0E0"/>
            <w:noWrap/>
            <w:vAlign w:val="center"/>
          </w:tcPr>
          <w:p w14:paraId="7C386829" w14:textId="77777777" w:rsidR="006B6009" w:rsidRPr="00140C7C" w:rsidRDefault="2A9278A2" w:rsidP="00504A09">
            <w:pPr>
              <w:pStyle w:val="TableText"/>
            </w:pPr>
            <w:r w:rsidRPr="00140C7C">
              <w:t>1B2aiv</w:t>
            </w:r>
          </w:p>
        </w:tc>
        <w:tc>
          <w:tcPr>
            <w:tcW w:w="3695" w:type="dxa"/>
            <w:shd w:val="clear" w:color="auto" w:fill="E0E0E0"/>
            <w:vAlign w:val="center"/>
          </w:tcPr>
          <w:p w14:paraId="1B00F09F" w14:textId="77777777" w:rsidR="006B6009" w:rsidRPr="00140C7C" w:rsidRDefault="2A9278A2" w:rsidP="00504A09">
            <w:pPr>
              <w:pStyle w:val="TableText"/>
            </w:pPr>
            <w:r w:rsidRPr="00140C7C">
              <w:t>Fugitive emissions oil: Refining / storage</w:t>
            </w:r>
          </w:p>
        </w:tc>
        <w:tc>
          <w:tcPr>
            <w:tcW w:w="993" w:type="dxa"/>
            <w:vAlign w:val="center"/>
          </w:tcPr>
          <w:p w14:paraId="0E1BC3D4" w14:textId="77777777" w:rsidR="006B6009" w:rsidRPr="00140C7C" w:rsidRDefault="2A9278A2" w:rsidP="00504A09">
            <w:pPr>
              <w:pStyle w:val="TableText"/>
              <w:jc w:val="center"/>
            </w:pPr>
            <w:r w:rsidRPr="00140C7C">
              <w:t>NE</w:t>
            </w:r>
          </w:p>
        </w:tc>
        <w:tc>
          <w:tcPr>
            <w:tcW w:w="992" w:type="dxa"/>
            <w:vAlign w:val="center"/>
          </w:tcPr>
          <w:p w14:paraId="5A345B1B" w14:textId="77777777" w:rsidR="006B6009" w:rsidRPr="00140C7C" w:rsidRDefault="006B6009" w:rsidP="00504A09">
            <w:pPr>
              <w:pStyle w:val="TableText"/>
              <w:jc w:val="center"/>
            </w:pPr>
          </w:p>
        </w:tc>
        <w:tc>
          <w:tcPr>
            <w:tcW w:w="1754" w:type="dxa"/>
            <w:vAlign w:val="center"/>
          </w:tcPr>
          <w:p w14:paraId="2597F267" w14:textId="77777777" w:rsidR="006B6009" w:rsidRPr="00140C7C" w:rsidRDefault="2A9278A2" w:rsidP="00504A09">
            <w:pPr>
              <w:pStyle w:val="TableText"/>
              <w:jc w:val="center"/>
            </w:pPr>
            <w:r w:rsidRPr="00140C7C">
              <w:t>X</w:t>
            </w:r>
          </w:p>
        </w:tc>
      </w:tr>
      <w:tr w:rsidR="006B6009" w:rsidRPr="00140C7C" w14:paraId="71103554" w14:textId="77777777" w:rsidTr="003377C8">
        <w:tc>
          <w:tcPr>
            <w:tcW w:w="846" w:type="dxa"/>
            <w:shd w:val="clear" w:color="auto" w:fill="E0E0E0"/>
            <w:noWrap/>
            <w:vAlign w:val="center"/>
          </w:tcPr>
          <w:p w14:paraId="635BC87D" w14:textId="77777777" w:rsidR="006B6009" w:rsidRPr="00140C7C" w:rsidRDefault="2A9278A2" w:rsidP="00504A09">
            <w:pPr>
              <w:pStyle w:val="TableText"/>
            </w:pPr>
            <w:r w:rsidRPr="00140C7C">
              <w:t>1B2av</w:t>
            </w:r>
          </w:p>
        </w:tc>
        <w:tc>
          <w:tcPr>
            <w:tcW w:w="3695" w:type="dxa"/>
            <w:shd w:val="clear" w:color="auto" w:fill="E0E0E0"/>
            <w:vAlign w:val="center"/>
          </w:tcPr>
          <w:p w14:paraId="53274CC2" w14:textId="77777777" w:rsidR="006B6009" w:rsidRPr="00140C7C" w:rsidRDefault="2A9278A2" w:rsidP="00504A09">
            <w:pPr>
              <w:pStyle w:val="TableText"/>
            </w:pPr>
            <w:r w:rsidRPr="00140C7C">
              <w:t>Distribution of oil products</w:t>
            </w:r>
          </w:p>
        </w:tc>
        <w:tc>
          <w:tcPr>
            <w:tcW w:w="993" w:type="dxa"/>
            <w:vAlign w:val="center"/>
          </w:tcPr>
          <w:p w14:paraId="25B89727" w14:textId="77777777" w:rsidR="006B6009" w:rsidRPr="00140C7C" w:rsidRDefault="2A9278A2" w:rsidP="00504A09">
            <w:pPr>
              <w:pStyle w:val="TableText"/>
              <w:jc w:val="center"/>
            </w:pPr>
            <w:r w:rsidRPr="00140C7C">
              <w:t>NE</w:t>
            </w:r>
          </w:p>
        </w:tc>
        <w:tc>
          <w:tcPr>
            <w:tcW w:w="992" w:type="dxa"/>
            <w:vAlign w:val="center"/>
          </w:tcPr>
          <w:p w14:paraId="358B837E" w14:textId="77777777" w:rsidR="006B6009" w:rsidRPr="00140C7C" w:rsidRDefault="006B6009" w:rsidP="00504A09">
            <w:pPr>
              <w:pStyle w:val="TableText"/>
              <w:jc w:val="center"/>
            </w:pPr>
          </w:p>
        </w:tc>
        <w:tc>
          <w:tcPr>
            <w:tcW w:w="1754" w:type="dxa"/>
            <w:vAlign w:val="center"/>
          </w:tcPr>
          <w:p w14:paraId="444047D3" w14:textId="77777777" w:rsidR="006B6009" w:rsidRPr="00140C7C" w:rsidRDefault="2A9278A2" w:rsidP="00504A09">
            <w:pPr>
              <w:pStyle w:val="TableText"/>
              <w:jc w:val="center"/>
            </w:pPr>
            <w:r w:rsidRPr="00140C7C">
              <w:t>X</w:t>
            </w:r>
          </w:p>
        </w:tc>
      </w:tr>
      <w:tr w:rsidR="006B6009" w:rsidRPr="00140C7C" w14:paraId="0E04F9BC" w14:textId="77777777" w:rsidTr="003377C8">
        <w:tc>
          <w:tcPr>
            <w:tcW w:w="846" w:type="dxa"/>
            <w:shd w:val="clear" w:color="auto" w:fill="E0E0E0"/>
            <w:noWrap/>
            <w:vAlign w:val="center"/>
          </w:tcPr>
          <w:p w14:paraId="15DAC2E4" w14:textId="77777777" w:rsidR="006B6009" w:rsidRPr="00140C7C" w:rsidRDefault="2A9278A2" w:rsidP="00504A09">
            <w:pPr>
              <w:pStyle w:val="TableText"/>
            </w:pPr>
            <w:r w:rsidRPr="00140C7C">
              <w:t>1B2b</w:t>
            </w:r>
          </w:p>
        </w:tc>
        <w:tc>
          <w:tcPr>
            <w:tcW w:w="3695" w:type="dxa"/>
            <w:shd w:val="clear" w:color="auto" w:fill="E0E0E0"/>
            <w:vAlign w:val="center"/>
          </w:tcPr>
          <w:p w14:paraId="0473638C" w14:textId="77777777" w:rsidR="006B6009" w:rsidRPr="00140C7C" w:rsidRDefault="2A9278A2" w:rsidP="00504A09">
            <w:pPr>
              <w:pStyle w:val="TableText"/>
            </w:pPr>
            <w:r w:rsidRPr="00140C7C">
              <w:t>Fugitive emissions from natural gas (exploration, production, processing, transmission, storage, distribution and other)</w:t>
            </w:r>
          </w:p>
        </w:tc>
        <w:tc>
          <w:tcPr>
            <w:tcW w:w="993" w:type="dxa"/>
            <w:vAlign w:val="center"/>
          </w:tcPr>
          <w:p w14:paraId="59BEA69C" w14:textId="77777777" w:rsidR="006B6009" w:rsidRPr="00140C7C" w:rsidRDefault="2A9278A2" w:rsidP="00504A09">
            <w:pPr>
              <w:pStyle w:val="TableText"/>
              <w:jc w:val="center"/>
            </w:pPr>
            <w:r w:rsidRPr="00140C7C">
              <w:t>NE</w:t>
            </w:r>
          </w:p>
        </w:tc>
        <w:tc>
          <w:tcPr>
            <w:tcW w:w="992" w:type="dxa"/>
            <w:vAlign w:val="center"/>
          </w:tcPr>
          <w:p w14:paraId="020A83B8" w14:textId="77777777" w:rsidR="006B6009" w:rsidRPr="00140C7C" w:rsidRDefault="006B6009" w:rsidP="00504A09">
            <w:pPr>
              <w:pStyle w:val="TableText"/>
              <w:jc w:val="center"/>
            </w:pPr>
          </w:p>
        </w:tc>
        <w:tc>
          <w:tcPr>
            <w:tcW w:w="1754" w:type="dxa"/>
            <w:vAlign w:val="center"/>
          </w:tcPr>
          <w:p w14:paraId="686BE389" w14:textId="77777777" w:rsidR="006B6009" w:rsidRPr="00140C7C" w:rsidRDefault="2A9278A2" w:rsidP="00504A09">
            <w:pPr>
              <w:pStyle w:val="TableText"/>
              <w:jc w:val="center"/>
            </w:pPr>
            <w:r w:rsidRPr="00140C7C">
              <w:t>X</w:t>
            </w:r>
          </w:p>
        </w:tc>
      </w:tr>
      <w:tr w:rsidR="006B6009" w:rsidRPr="00140C7C" w14:paraId="1CABFA7A" w14:textId="77777777" w:rsidTr="003377C8">
        <w:tc>
          <w:tcPr>
            <w:tcW w:w="846" w:type="dxa"/>
            <w:shd w:val="clear" w:color="auto" w:fill="E0E0E0"/>
            <w:noWrap/>
            <w:vAlign w:val="center"/>
          </w:tcPr>
          <w:p w14:paraId="6FED482F" w14:textId="77777777" w:rsidR="006B6009" w:rsidRPr="00140C7C" w:rsidRDefault="2A9278A2" w:rsidP="00504A09">
            <w:pPr>
              <w:pStyle w:val="TableText"/>
            </w:pPr>
            <w:r w:rsidRPr="00140C7C">
              <w:t>1B2c</w:t>
            </w:r>
          </w:p>
        </w:tc>
        <w:tc>
          <w:tcPr>
            <w:tcW w:w="3695" w:type="dxa"/>
            <w:shd w:val="clear" w:color="auto" w:fill="E0E0E0"/>
            <w:vAlign w:val="center"/>
          </w:tcPr>
          <w:p w14:paraId="7CF71753" w14:textId="77777777" w:rsidR="006B6009" w:rsidRPr="00140C7C" w:rsidRDefault="2A9278A2" w:rsidP="00504A09">
            <w:pPr>
              <w:pStyle w:val="TableText"/>
            </w:pPr>
            <w:r w:rsidRPr="00140C7C">
              <w:t>Venting and flaring (oil, gas, combined oil and gas)</w:t>
            </w:r>
          </w:p>
        </w:tc>
        <w:tc>
          <w:tcPr>
            <w:tcW w:w="993" w:type="dxa"/>
            <w:vAlign w:val="center"/>
          </w:tcPr>
          <w:p w14:paraId="2E46CCDB" w14:textId="77777777" w:rsidR="006B6009" w:rsidRPr="00140C7C" w:rsidRDefault="2A9278A2" w:rsidP="00504A09">
            <w:pPr>
              <w:pStyle w:val="TableText"/>
              <w:jc w:val="center"/>
            </w:pPr>
            <w:r w:rsidRPr="00140C7C">
              <w:t>NO</w:t>
            </w:r>
          </w:p>
        </w:tc>
        <w:tc>
          <w:tcPr>
            <w:tcW w:w="992" w:type="dxa"/>
            <w:vAlign w:val="center"/>
          </w:tcPr>
          <w:p w14:paraId="6D2DB137" w14:textId="77777777" w:rsidR="006B6009" w:rsidRPr="00140C7C" w:rsidRDefault="006B6009" w:rsidP="00504A09">
            <w:pPr>
              <w:pStyle w:val="TableText"/>
              <w:jc w:val="center"/>
            </w:pPr>
          </w:p>
        </w:tc>
        <w:tc>
          <w:tcPr>
            <w:tcW w:w="1754" w:type="dxa"/>
            <w:vAlign w:val="center"/>
          </w:tcPr>
          <w:p w14:paraId="0CF48C03" w14:textId="77777777" w:rsidR="006B6009" w:rsidRPr="00140C7C" w:rsidRDefault="006B6009" w:rsidP="00504A09">
            <w:pPr>
              <w:pStyle w:val="TableText"/>
              <w:jc w:val="center"/>
            </w:pPr>
          </w:p>
        </w:tc>
      </w:tr>
      <w:tr w:rsidR="006B6009" w:rsidRPr="00140C7C" w14:paraId="2F4907BA" w14:textId="77777777" w:rsidTr="003377C8">
        <w:tc>
          <w:tcPr>
            <w:tcW w:w="846" w:type="dxa"/>
            <w:shd w:val="clear" w:color="auto" w:fill="E0E0E0"/>
            <w:noWrap/>
            <w:vAlign w:val="center"/>
          </w:tcPr>
          <w:p w14:paraId="0CB4D451" w14:textId="77777777" w:rsidR="006B6009" w:rsidRPr="00140C7C" w:rsidRDefault="2A9278A2" w:rsidP="00504A09">
            <w:pPr>
              <w:pStyle w:val="TableText"/>
            </w:pPr>
            <w:r w:rsidRPr="00140C7C">
              <w:t>1B2d</w:t>
            </w:r>
          </w:p>
        </w:tc>
        <w:tc>
          <w:tcPr>
            <w:tcW w:w="3695" w:type="dxa"/>
            <w:shd w:val="clear" w:color="auto" w:fill="E0E0E0"/>
            <w:vAlign w:val="center"/>
          </w:tcPr>
          <w:p w14:paraId="1041F188" w14:textId="77777777" w:rsidR="006B6009" w:rsidRPr="00140C7C" w:rsidRDefault="2A9278A2" w:rsidP="00504A09">
            <w:pPr>
              <w:pStyle w:val="TableText"/>
            </w:pPr>
            <w:r w:rsidRPr="00140C7C">
              <w:t>Other fugitive emissions from energy production</w:t>
            </w:r>
          </w:p>
        </w:tc>
        <w:tc>
          <w:tcPr>
            <w:tcW w:w="993" w:type="dxa"/>
            <w:vAlign w:val="center"/>
          </w:tcPr>
          <w:p w14:paraId="4CDBBA88" w14:textId="77777777" w:rsidR="006B6009" w:rsidRPr="00140C7C" w:rsidRDefault="2A9278A2" w:rsidP="00504A09">
            <w:pPr>
              <w:pStyle w:val="TableText"/>
              <w:jc w:val="center"/>
            </w:pPr>
            <w:r w:rsidRPr="00140C7C">
              <w:t>NA</w:t>
            </w:r>
          </w:p>
        </w:tc>
        <w:tc>
          <w:tcPr>
            <w:tcW w:w="992" w:type="dxa"/>
            <w:vAlign w:val="center"/>
          </w:tcPr>
          <w:p w14:paraId="248FE23A" w14:textId="77777777" w:rsidR="006B6009" w:rsidRPr="00140C7C" w:rsidRDefault="006B6009" w:rsidP="00504A09">
            <w:pPr>
              <w:pStyle w:val="TableText"/>
              <w:jc w:val="center"/>
            </w:pPr>
          </w:p>
        </w:tc>
        <w:tc>
          <w:tcPr>
            <w:tcW w:w="1754" w:type="dxa"/>
            <w:vAlign w:val="center"/>
          </w:tcPr>
          <w:p w14:paraId="3EE69759" w14:textId="77777777" w:rsidR="006B6009" w:rsidRPr="00140C7C" w:rsidRDefault="006B6009" w:rsidP="00504A09">
            <w:pPr>
              <w:pStyle w:val="TableText"/>
              <w:jc w:val="center"/>
            </w:pPr>
          </w:p>
        </w:tc>
      </w:tr>
      <w:tr w:rsidR="006B6009" w:rsidRPr="00140C7C" w14:paraId="449AC773" w14:textId="77777777" w:rsidTr="2A9278A2">
        <w:trPr>
          <w:cantSplit/>
          <w:trHeight w:val="255"/>
        </w:trPr>
        <w:tc>
          <w:tcPr>
            <w:tcW w:w="8280" w:type="dxa"/>
            <w:gridSpan w:val="5"/>
            <w:shd w:val="clear" w:color="auto" w:fill="E0E0E0"/>
            <w:noWrap/>
            <w:vAlign w:val="center"/>
          </w:tcPr>
          <w:p w14:paraId="1FBA2E9C" w14:textId="77777777" w:rsidR="006B6009" w:rsidRPr="00140C7C" w:rsidRDefault="2A9278A2" w:rsidP="00504A09">
            <w:pPr>
              <w:pStyle w:val="TableText"/>
            </w:pPr>
            <w:r w:rsidRPr="00140C7C">
              <w:t>Note: Where a sector has been partially reviewed (e.g. some of the NFR codes) please indicate which have and which have not in the respective columns.</w:t>
            </w:r>
          </w:p>
        </w:tc>
      </w:tr>
    </w:tbl>
    <w:p w14:paraId="00E26A23" w14:textId="77777777" w:rsidR="006B6009" w:rsidRPr="00140C7C" w:rsidRDefault="2A9278A2" w:rsidP="00A940A7">
      <w:pPr>
        <w:pStyle w:val="berschrift4"/>
        <w:jc w:val="both"/>
      </w:pPr>
      <w:r w:rsidRPr="00140C7C">
        <w:lastRenderedPageBreak/>
        <w:t>General recommendations on cross cutting issues</w:t>
      </w:r>
    </w:p>
    <w:p w14:paraId="09B7970C" w14:textId="77777777" w:rsidR="006B6009" w:rsidRPr="00140C7C" w:rsidRDefault="2A9278A2" w:rsidP="00632720">
      <w:pPr>
        <w:pStyle w:val="berschrift5"/>
      </w:pPr>
      <w:r w:rsidRPr="00140C7C">
        <w:t>Transparency</w:t>
      </w:r>
    </w:p>
    <w:p w14:paraId="6C48D5B3" w14:textId="77C2AC73" w:rsidR="006B6009" w:rsidRPr="00140C7C" w:rsidRDefault="2A9278A2" w:rsidP="007F5740">
      <w:pPr>
        <w:pStyle w:val="RegPara"/>
      </w:pPr>
      <w:r w:rsidRPr="00140C7C">
        <w:t xml:space="preserve">In its IIR, the Party refers to </w:t>
      </w:r>
      <w:bookmarkStart w:id="34" w:name="_Hlk76989761"/>
      <w:r w:rsidRPr="00140C7C">
        <w:t xml:space="preserve">Tier 1 default EFs from the 2019 </w:t>
      </w:r>
      <w:r w:rsidR="00E03C23" w:rsidRPr="00140C7C">
        <w:t>EMEP/EEA Guidebook</w:t>
      </w:r>
      <w:r w:rsidRPr="00140C7C">
        <w:t xml:space="preserve"> for several pollutants</w:t>
      </w:r>
      <w:bookmarkEnd w:id="34"/>
      <w:r w:rsidRPr="00140C7C">
        <w:t xml:space="preserve"> and key categories in the energy sector. However, during the review </w:t>
      </w:r>
      <w:r w:rsidR="00E03C23" w:rsidRPr="00140C7C">
        <w:t xml:space="preserve">Montenegro </w:t>
      </w:r>
      <w:r w:rsidRPr="00140C7C">
        <w:t xml:space="preserve">explained that in fact </w:t>
      </w:r>
      <w:r w:rsidR="00E03C23" w:rsidRPr="00140C7C">
        <w:t>T</w:t>
      </w:r>
      <w:r w:rsidRPr="00140C7C">
        <w:t xml:space="preserve">ier 2 default EF from 2019 </w:t>
      </w:r>
      <w:r w:rsidR="00E03C23" w:rsidRPr="00140C7C">
        <w:t>EMEP/EEA Guidebook</w:t>
      </w:r>
      <w:r w:rsidRPr="00140C7C">
        <w:t xml:space="preserve"> and </w:t>
      </w:r>
      <w:r w:rsidR="00E03C23" w:rsidRPr="00140C7C">
        <w:t>country specific</w:t>
      </w:r>
      <w:r w:rsidRPr="00140C7C">
        <w:t xml:space="preserve"> net calorific values were used but that the information in the IIR was not updated accordingly. The ERT recommends that </w:t>
      </w:r>
      <w:r w:rsidR="00E03C23" w:rsidRPr="00140C7C">
        <w:t>Montenegro</w:t>
      </w:r>
      <w:r w:rsidRPr="00140C7C">
        <w:t xml:space="preserve"> update its IIR methods used and assumptions made in the next submission.  </w:t>
      </w:r>
    </w:p>
    <w:p w14:paraId="1410D2A2" w14:textId="77777777" w:rsidR="006B6009" w:rsidRPr="00140C7C" w:rsidRDefault="2A9278A2" w:rsidP="00632720">
      <w:pPr>
        <w:pStyle w:val="berschrift5"/>
      </w:pPr>
      <w:r w:rsidRPr="00140C7C">
        <w:t>Completeness</w:t>
      </w:r>
    </w:p>
    <w:p w14:paraId="512AA1EF" w14:textId="7E9B4B06" w:rsidR="006B6009" w:rsidRPr="00140C7C" w:rsidRDefault="2A9278A2" w:rsidP="007F5740">
      <w:pPr>
        <w:pStyle w:val="RegPara"/>
      </w:pPr>
      <w:r w:rsidRPr="00140C7C">
        <w:t xml:space="preserve">The ERT considers the Energy sector generally to be complete. However, </w:t>
      </w:r>
      <w:r w:rsidR="00F33FEE" w:rsidRPr="00140C7C">
        <w:t>Montenegro</w:t>
      </w:r>
      <w:r w:rsidRPr="00140C7C">
        <w:t xml:space="preserve"> has not estimated emissions of NMVOC from 1B2aiv, 1B2av and 1B2b. The ERT recommends that </w:t>
      </w:r>
      <w:r w:rsidR="00F33FEE" w:rsidRPr="00140C7C">
        <w:t>Montenegro</w:t>
      </w:r>
      <w:r w:rsidRPr="00140C7C">
        <w:t xml:space="preserve"> estimate the NMVOC emissions in line with the 2019 </w:t>
      </w:r>
      <w:r w:rsidR="00F33FEE" w:rsidRPr="00140C7C">
        <w:t>EMEP/EEA Guidebook</w:t>
      </w:r>
      <w:r w:rsidRPr="00140C7C">
        <w:t xml:space="preserve">.  </w:t>
      </w:r>
    </w:p>
    <w:p w14:paraId="6B932EA1" w14:textId="77777777" w:rsidR="006B6009" w:rsidRPr="00140C7C" w:rsidRDefault="2A9278A2" w:rsidP="00632720">
      <w:pPr>
        <w:pStyle w:val="berschrift5"/>
      </w:pPr>
      <w:r w:rsidRPr="00140C7C">
        <w:t>Consistency including recalculation and time series</w:t>
      </w:r>
    </w:p>
    <w:p w14:paraId="42E3D4A6" w14:textId="6F0034F4" w:rsidR="006B6009" w:rsidRPr="00140C7C" w:rsidRDefault="00BB09E2" w:rsidP="007F5740">
      <w:pPr>
        <w:pStyle w:val="RegPara"/>
      </w:pPr>
      <w:r w:rsidRPr="007F5740">
        <w:t>Montenegro</w:t>
      </w:r>
      <w:r w:rsidR="2A9278A2" w:rsidRPr="007F5740">
        <w:t xml:space="preserve"> has recalculated its inventory of NOx emissions for 1A2c 2005-2008, 2011-2018. However, the IIR does not include all the necessary explanations but a general text that is not applicable to the specific recalculation. The ERT encourages</w:t>
      </w:r>
      <w:r w:rsidRPr="007F5740">
        <w:t xml:space="preserve"> Montenegro </w:t>
      </w:r>
      <w:r w:rsidR="2A9278A2" w:rsidRPr="007F5740">
        <w:t xml:space="preserve">to provide more detailed explanation of recalculations, including the rational, the impact on the sector and implication to trends for the Energy sector in its IIR. The ERT further recommends </w:t>
      </w:r>
      <w:r w:rsidRPr="007F5740">
        <w:t>Montenegro</w:t>
      </w:r>
      <w:r w:rsidR="2A9278A2" w:rsidRPr="007F5740">
        <w:t xml:space="preserve"> to ensure that the information on recalculations is updated in the IIR and that redundant text is removed</w:t>
      </w:r>
      <w:r w:rsidR="2A9278A2" w:rsidRPr="00140C7C">
        <w:t>.</w:t>
      </w:r>
    </w:p>
    <w:p w14:paraId="3961BDB2" w14:textId="77777777" w:rsidR="006B6009" w:rsidRPr="00140C7C" w:rsidRDefault="2A9278A2" w:rsidP="00632720">
      <w:pPr>
        <w:pStyle w:val="berschrift5"/>
      </w:pPr>
      <w:r w:rsidRPr="00140C7C">
        <w:t>Comparability</w:t>
      </w:r>
    </w:p>
    <w:p w14:paraId="3257F92F" w14:textId="7884C566" w:rsidR="006B6009" w:rsidRPr="00140C7C" w:rsidRDefault="00BB09E2" w:rsidP="007F5740">
      <w:pPr>
        <w:pStyle w:val="RegPara"/>
      </w:pPr>
      <w:r w:rsidRPr="00140C7C">
        <w:t>Montenegro</w:t>
      </w:r>
      <w:r w:rsidR="2A9278A2" w:rsidRPr="00140C7C">
        <w:t xml:space="preserve"> did not provide updated information on methods and EF used in the IIR. During the review, </w:t>
      </w:r>
      <w:r w:rsidRPr="00140C7C">
        <w:t>Montenegro</w:t>
      </w:r>
      <w:r w:rsidR="2A9278A2" w:rsidRPr="00140C7C">
        <w:t xml:space="preserve"> explained what methods and EF from 2019 </w:t>
      </w:r>
      <w:r w:rsidRPr="00140C7C">
        <w:t xml:space="preserve">EMEP/EEA Guidebook </w:t>
      </w:r>
      <w:r w:rsidR="2A9278A2" w:rsidRPr="00140C7C">
        <w:t xml:space="preserve">were used. However, the ERT noted several discrepancies between information in IIR and </w:t>
      </w:r>
      <w:r w:rsidRPr="00140C7C">
        <w:t>EMEP/EEA Guidebook</w:t>
      </w:r>
      <w:r w:rsidR="2A9278A2" w:rsidRPr="00140C7C">
        <w:t xml:space="preserve"> (see sub-sector specific recommendations below). The ERT recommends </w:t>
      </w:r>
      <w:r w:rsidRPr="00140C7C">
        <w:t>Montenegro</w:t>
      </w:r>
      <w:r w:rsidR="2A9278A2" w:rsidRPr="00140C7C">
        <w:t xml:space="preserve"> to ensure that updated information on methods and EF used are provided in the IIR of the next submission. </w:t>
      </w:r>
    </w:p>
    <w:p w14:paraId="73FF418F" w14:textId="77777777" w:rsidR="006B6009" w:rsidRPr="00140C7C" w:rsidRDefault="2A9278A2" w:rsidP="00632720">
      <w:pPr>
        <w:pStyle w:val="berschrift5"/>
      </w:pPr>
      <w:r w:rsidRPr="00140C7C">
        <w:t>Accuracy and uncertainties</w:t>
      </w:r>
    </w:p>
    <w:p w14:paraId="16E57936" w14:textId="478137A9" w:rsidR="006B6009" w:rsidRPr="00140C7C" w:rsidRDefault="2A9278A2" w:rsidP="007F5740">
      <w:pPr>
        <w:pStyle w:val="RegPara"/>
        <w:rPr>
          <w:b/>
          <w:bCs/>
        </w:rPr>
      </w:pPr>
      <w:r w:rsidRPr="00140C7C">
        <w:t xml:space="preserve">The ERT encourages </w:t>
      </w:r>
      <w:r w:rsidR="00BB09E2" w:rsidRPr="00140C7C">
        <w:t>Montenegro</w:t>
      </w:r>
      <w:r w:rsidRPr="00140C7C">
        <w:t xml:space="preserve"> to undertake uncertainty analysis for the Energy Sector in order to help inform the improvement process and to provide an indication of the reliability of the inventory data.</w:t>
      </w:r>
    </w:p>
    <w:p w14:paraId="7C67DB24" w14:textId="76B97162" w:rsidR="006B6009" w:rsidRPr="00140C7C" w:rsidRDefault="2A9278A2" w:rsidP="007F5740">
      <w:pPr>
        <w:pStyle w:val="RegPara"/>
        <w:rPr>
          <w:b/>
          <w:bCs/>
        </w:rPr>
      </w:pPr>
      <w:r w:rsidRPr="00140C7C">
        <w:t xml:space="preserve">The Party claims that source-specific QA/QC checks are performed before submission to the Convention. However, the ERT noted several errors in the inventory (see sub-sector specific recommendations below) that suggests that further QA/QC checks are needed. The ERT encourages </w:t>
      </w:r>
      <w:r w:rsidR="00BB09E2" w:rsidRPr="00140C7C">
        <w:t xml:space="preserve">the </w:t>
      </w:r>
      <w:r w:rsidRPr="00140C7C">
        <w:t>Party to implement sector specific OA/QC procedures in line with the 2019</w:t>
      </w:r>
      <w:r w:rsidR="00BB09E2" w:rsidRPr="00140C7C">
        <w:t xml:space="preserve"> EMEP/EEA Guidebook</w:t>
      </w:r>
      <w:r w:rsidRPr="00140C7C">
        <w:t xml:space="preserve">. </w:t>
      </w:r>
    </w:p>
    <w:p w14:paraId="374EDBB4" w14:textId="77777777" w:rsidR="006B6009" w:rsidRPr="00140C7C" w:rsidRDefault="2A9278A2" w:rsidP="00632720">
      <w:pPr>
        <w:pStyle w:val="berschrift5"/>
      </w:pPr>
      <w:r w:rsidRPr="00140C7C">
        <w:lastRenderedPageBreak/>
        <w:t xml:space="preserve">Condensable </w:t>
      </w:r>
    </w:p>
    <w:p w14:paraId="6CAEB523" w14:textId="474F95D9" w:rsidR="006B6009" w:rsidRPr="00140C7C" w:rsidRDefault="2A9278A2" w:rsidP="007F5740">
      <w:pPr>
        <w:pStyle w:val="RegPara"/>
      </w:pPr>
      <w:r w:rsidRPr="00140C7C">
        <w:t xml:space="preserve">The Party did not provide explicit information on condensable component of PM for categories. However, the </w:t>
      </w:r>
      <w:r w:rsidR="00BB09E2" w:rsidRPr="00140C7C">
        <w:t>Montenegro</w:t>
      </w:r>
      <w:r w:rsidRPr="00140C7C">
        <w:t xml:space="preserve"> uses default 2019 </w:t>
      </w:r>
      <w:r w:rsidR="00BB09E2" w:rsidRPr="00140C7C">
        <w:t>EMEP/EEA Guidebook</w:t>
      </w:r>
      <w:r w:rsidRPr="00140C7C">
        <w:t>.</w:t>
      </w:r>
      <w:r w:rsidR="00BB09E2" w:rsidRPr="00140C7C">
        <w:t xml:space="preserve"> </w:t>
      </w:r>
      <w:r w:rsidRPr="00140C7C">
        <w:t xml:space="preserve">The ERT recommends </w:t>
      </w:r>
      <w:r w:rsidR="00BB09E2" w:rsidRPr="00140C7C">
        <w:t xml:space="preserve">Montenegro </w:t>
      </w:r>
      <w:r w:rsidRPr="00140C7C">
        <w:t>to include explicit information on condensable components of PM in the next submission</w:t>
      </w:r>
      <w:r w:rsidR="00A940A7" w:rsidRPr="00140C7C">
        <w:t>.</w:t>
      </w:r>
    </w:p>
    <w:p w14:paraId="0567E865" w14:textId="77777777" w:rsidR="006B6009" w:rsidRPr="00140C7C" w:rsidRDefault="2A9278A2" w:rsidP="00632720">
      <w:pPr>
        <w:pStyle w:val="berschrift5"/>
      </w:pPr>
      <w:r w:rsidRPr="00140C7C">
        <w:t>Improvement</w:t>
      </w:r>
    </w:p>
    <w:p w14:paraId="2166F997" w14:textId="024D198A" w:rsidR="006B6009" w:rsidRPr="00140C7C" w:rsidRDefault="00BB09E2" w:rsidP="007F5740">
      <w:pPr>
        <w:pStyle w:val="RegPara"/>
      </w:pPr>
      <w:r w:rsidRPr="00140C7C">
        <w:t>Montenegro</w:t>
      </w:r>
      <w:r w:rsidR="2A9278A2" w:rsidRPr="00140C7C">
        <w:t xml:space="preserve"> elaborates on several planned improvements in its IIR</w:t>
      </w:r>
      <w:r w:rsidRPr="00140C7C">
        <w:t>, e</w:t>
      </w:r>
      <w:r w:rsidR="2A9278A2" w:rsidRPr="00140C7C">
        <w:t>.g. development of country-specific EF for SO</w:t>
      </w:r>
      <w:r w:rsidR="2A9278A2" w:rsidRPr="00140C7C">
        <w:rPr>
          <w:vertAlign w:val="subscript"/>
        </w:rPr>
        <w:t>2</w:t>
      </w:r>
      <w:r w:rsidR="2A9278A2" w:rsidRPr="00140C7C">
        <w:t xml:space="preserve">, accounting for abatement technologies. The ERT encourages the Party to implement planned improvements and report on the any changes in its next IIR. </w:t>
      </w:r>
    </w:p>
    <w:p w14:paraId="0681DD6A" w14:textId="77777777" w:rsidR="006B6009" w:rsidRPr="00140C7C" w:rsidRDefault="2A9278A2" w:rsidP="00A940A7">
      <w:pPr>
        <w:pStyle w:val="berschrift4"/>
        <w:jc w:val="both"/>
      </w:pPr>
      <w:r w:rsidRPr="00140C7C">
        <w:t>Potential Technical Corrections</w:t>
      </w:r>
    </w:p>
    <w:p w14:paraId="3F17F0E4" w14:textId="77777777" w:rsidR="006B6009" w:rsidRPr="00140C7C" w:rsidRDefault="006B6009" w:rsidP="00A940A7">
      <w:pPr>
        <w:jc w:val="both"/>
      </w:pPr>
    </w:p>
    <w:p w14:paraId="14813C50" w14:textId="73A41134" w:rsidR="006B6009" w:rsidRPr="00140C7C" w:rsidRDefault="2A9278A2" w:rsidP="007F5740">
      <w:pPr>
        <w:pStyle w:val="RegPara"/>
      </w:pPr>
      <w:r w:rsidRPr="00140C7C">
        <w:t xml:space="preserve">The ERT </w:t>
      </w:r>
      <w:r w:rsidR="00BB09E2" w:rsidRPr="00140C7C">
        <w:t>did not calculate any technical corrections for the Energy sector.</w:t>
      </w:r>
    </w:p>
    <w:p w14:paraId="65CC56FB" w14:textId="64E7FD54" w:rsidR="006B6009" w:rsidRPr="00140C7C" w:rsidRDefault="2A9278A2" w:rsidP="00A940A7">
      <w:pPr>
        <w:pStyle w:val="berschrift4"/>
        <w:jc w:val="both"/>
      </w:pPr>
      <w:r w:rsidRPr="00140C7C">
        <w:t>Sub-Sector Specific Recommendations</w:t>
      </w:r>
    </w:p>
    <w:p w14:paraId="4B9FF3D8" w14:textId="77777777" w:rsidR="006B6009" w:rsidRPr="00140C7C" w:rsidRDefault="2A9278A2" w:rsidP="00632720">
      <w:pPr>
        <w:pStyle w:val="berschrift5"/>
      </w:pPr>
      <w:r w:rsidRPr="00140C7C">
        <w:t>Category issue 1: 1.A.1a Solid fuels - BC</w:t>
      </w:r>
    </w:p>
    <w:p w14:paraId="525A8CA5" w14:textId="7ED623EE" w:rsidR="006B6009" w:rsidRPr="00140C7C" w:rsidRDefault="2A9278A2" w:rsidP="007F5740">
      <w:pPr>
        <w:pStyle w:val="RegPara"/>
      </w:pPr>
      <w:r w:rsidRPr="00140C7C">
        <w:t>The ERT noted that BC emissions in 1A1a are relatively high compared to emissions of PM</w:t>
      </w:r>
      <w:r w:rsidRPr="00140C7C">
        <w:rPr>
          <w:vertAlign w:val="subscript"/>
        </w:rPr>
        <w:t xml:space="preserve">2.5. </w:t>
      </w:r>
      <w:r w:rsidRPr="00140C7C">
        <w:t xml:space="preserve">In its IIR (page 132), the Party provides EF used for </w:t>
      </w:r>
      <w:r w:rsidR="00BB09E2" w:rsidRPr="00140C7C">
        <w:t xml:space="preserve">emission </w:t>
      </w:r>
      <w:r w:rsidRPr="00140C7C">
        <w:t>estimations. The EF are referred to the Tier 1 default values from 2019</w:t>
      </w:r>
      <w:r w:rsidR="00BB09E2" w:rsidRPr="00140C7C">
        <w:t xml:space="preserve"> EMEP/EEA Guidebook</w:t>
      </w:r>
      <w:r w:rsidRPr="00140C7C">
        <w:t xml:space="preserve">. However, the ERT noted that the reported values do not correspond to the reported AD and the Tier 1 default EFs from </w:t>
      </w:r>
      <w:r w:rsidR="00BB09E2" w:rsidRPr="00140C7C">
        <w:t>Guidebook</w:t>
      </w:r>
      <w:r w:rsidRPr="00140C7C">
        <w:t xml:space="preserve"> (BC/PM</w:t>
      </w:r>
      <w:r w:rsidRPr="00140C7C">
        <w:rPr>
          <w:vertAlign w:val="subscript"/>
        </w:rPr>
        <w:t xml:space="preserve">2.5 </w:t>
      </w:r>
      <w:r w:rsidRPr="00140C7C">
        <w:t>ratio: 1% of PM</w:t>
      </w:r>
      <w:r w:rsidRPr="00140C7C">
        <w:rPr>
          <w:vertAlign w:val="subscript"/>
        </w:rPr>
        <w:t>2.5</w:t>
      </w:r>
      <w:r w:rsidRPr="00140C7C">
        <w:t xml:space="preserve"> for brown coal and 2.2% for hard coal). During the review, </w:t>
      </w:r>
      <w:r w:rsidR="00BB09E2" w:rsidRPr="00140C7C">
        <w:t>Montenegro</w:t>
      </w:r>
      <w:r w:rsidRPr="00140C7C">
        <w:t xml:space="preserve"> explained that there were errors in the underlying calculations and provided revised estimates and explained that the information in the IIR was incorrect, and that, in fact, </w:t>
      </w:r>
      <w:r w:rsidR="00BB09E2" w:rsidRPr="00140C7C">
        <w:t xml:space="preserve">EMEP/EEA Guidebook 2019 </w:t>
      </w:r>
      <w:r w:rsidRPr="00140C7C">
        <w:t xml:space="preserve">default </w:t>
      </w:r>
      <w:r w:rsidR="00BB09E2" w:rsidRPr="00140C7C">
        <w:t>T</w:t>
      </w:r>
      <w:r w:rsidRPr="00140C7C">
        <w:t xml:space="preserve">ier 2 EFs had been applied, referring to table 3-10 of the EMEP/EEA Guidebook 2019. However, the ERT noted that the revised estimates are not correct, and that Table 3-10 of EMEP/EEA Guidebook 2019 does not include EF for BC. The ERT recommends </w:t>
      </w:r>
      <w:r w:rsidR="00BB09E2" w:rsidRPr="00140C7C">
        <w:t>Montenegro</w:t>
      </w:r>
      <w:r w:rsidRPr="00140C7C">
        <w:t xml:space="preserve"> to check its BC emission estimates to ensure accurate estimations and to revise the information provided in the IIR in its next submission.  </w:t>
      </w:r>
    </w:p>
    <w:p w14:paraId="76D27459" w14:textId="77777777" w:rsidR="006B6009" w:rsidRPr="00140C7C" w:rsidRDefault="2A9278A2" w:rsidP="00632720">
      <w:pPr>
        <w:pStyle w:val="berschrift5"/>
      </w:pPr>
      <w:r w:rsidRPr="00140C7C">
        <w:t>Category issue 2: 1.A.1a Solid fuels - dioxins</w:t>
      </w:r>
    </w:p>
    <w:p w14:paraId="02C67571" w14:textId="550E8B60" w:rsidR="006B6009" w:rsidRPr="00140C7C" w:rsidRDefault="2A9278A2" w:rsidP="007F5740">
      <w:pPr>
        <w:pStyle w:val="RegPara"/>
      </w:pPr>
      <w:r w:rsidRPr="00140C7C">
        <w:t xml:space="preserve">The ERT noted that the dioxin emissions in 1A1a are significantly lower than expected. In its IIR (page 132), the Party provides EF used for </w:t>
      </w:r>
      <w:r w:rsidR="00345EAE" w:rsidRPr="00140C7C">
        <w:t xml:space="preserve">emission </w:t>
      </w:r>
      <w:r w:rsidRPr="00140C7C">
        <w:t xml:space="preserve">estimations, referring to Tier 1 default values from </w:t>
      </w:r>
      <w:r w:rsidR="00345EAE" w:rsidRPr="00140C7C">
        <w:t>EMEP/EEA Guidebook</w:t>
      </w:r>
      <w:r w:rsidRPr="00140C7C">
        <w:t xml:space="preserve"> 2019. However, the ERT noted that the reported values do not correspond to the reported AD and the Tier 1 default EFs from </w:t>
      </w:r>
      <w:r w:rsidR="00345EAE" w:rsidRPr="00140C7C">
        <w:t>EMEP/EEA Guidebook</w:t>
      </w:r>
      <w:r w:rsidRPr="00140C7C">
        <w:t xml:space="preserve"> 2019 (10 ng/GJ for solid fuels). The ERT noted that the reported values seem to be 1000 times too low. During the review, </w:t>
      </w:r>
      <w:r w:rsidR="00345EAE" w:rsidRPr="00140C7C">
        <w:t>Montenegro</w:t>
      </w:r>
      <w:r w:rsidRPr="00140C7C">
        <w:t xml:space="preserve"> explained that there were errors in the underlying calculations and provided revised estimates and explained that the information in the IIR was incorrect, and that, in fact, 2019 </w:t>
      </w:r>
      <w:r w:rsidR="00345EAE" w:rsidRPr="00140C7C">
        <w:t xml:space="preserve">EMEP/EEA Guidebook </w:t>
      </w:r>
      <w:r w:rsidRPr="00140C7C">
        <w:t xml:space="preserve">default </w:t>
      </w:r>
      <w:r w:rsidR="00345EAE" w:rsidRPr="00140C7C">
        <w:t>T</w:t>
      </w:r>
      <w:r w:rsidRPr="00140C7C">
        <w:t xml:space="preserve">ier 2 EFs had been applied, referring to table 3-10 of the EMEP/EEA Guidebook 2019. However, the ERT noted that the revised estimates are not correct. The ERT recommends </w:t>
      </w:r>
      <w:r w:rsidR="00345EAE" w:rsidRPr="00140C7C">
        <w:t>Montenegro</w:t>
      </w:r>
      <w:r w:rsidRPr="00140C7C">
        <w:t xml:space="preserve"> to check </w:t>
      </w:r>
      <w:r w:rsidRPr="00140C7C">
        <w:lastRenderedPageBreak/>
        <w:t xml:space="preserve">its dioxin emission estimates to ensure accurate estimations (e.g. by paying specific attention to the unit for dioxins in the NFR tables (g I-TEQ) and the unit of the EF in EMEP/EEA Guidebook 2019 (ng I-TEQ/GJ)), and to revise the information provided in the IIR in its next submission.  </w:t>
      </w:r>
    </w:p>
    <w:p w14:paraId="12943450" w14:textId="77777777" w:rsidR="006B6009" w:rsidRPr="00140C7C" w:rsidRDefault="2A9278A2" w:rsidP="00632720">
      <w:pPr>
        <w:pStyle w:val="berschrift5"/>
      </w:pPr>
      <w:r w:rsidRPr="00140C7C">
        <w:t>Category issue 3: 1.A.1a Solid fuels - Indeno (1,2,3-cd) pyrene</w:t>
      </w:r>
    </w:p>
    <w:p w14:paraId="5AA7A6BF" w14:textId="29D50ACB" w:rsidR="006B6009" w:rsidRPr="00140C7C" w:rsidRDefault="2A9278A2" w:rsidP="007F5740">
      <w:pPr>
        <w:pStyle w:val="RegPara"/>
      </w:pPr>
      <w:r w:rsidRPr="00140C7C">
        <w:t xml:space="preserve">In its IIR (page 132), the Party claims to apply the Tier 1 default EFs from 2019 </w:t>
      </w:r>
      <w:r w:rsidR="00DB2B63" w:rsidRPr="00140C7C">
        <w:t xml:space="preserve">Guidebook </w:t>
      </w:r>
      <w:r w:rsidRPr="00140C7C">
        <w:t>for its estimation of Indeno (1,2,3-cd) pyrene emissions in NFR 1A1a. However, the ERT noted that the reported values do not correspond to the reported AD and the Tier 1 default EFs from 2019</w:t>
      </w:r>
      <w:r w:rsidR="00DB2B63" w:rsidRPr="00140C7C">
        <w:t xml:space="preserve"> Guidebook</w:t>
      </w:r>
      <w:r w:rsidRPr="00140C7C">
        <w:t xml:space="preserve"> (2.1 µg/GJ for brown coal and 1.1 µg/GJ for hard coal). During the review, </w:t>
      </w:r>
      <w:r w:rsidR="00DB2B63" w:rsidRPr="00140C7C">
        <w:t>Montenegro</w:t>
      </w:r>
      <w:r w:rsidRPr="00140C7C">
        <w:t xml:space="preserve"> explained that there were errors in the underlying calculations and provided revised estimates and explained that the information in the IIR was incorrect, and that, in fact, 2019 </w:t>
      </w:r>
      <w:r w:rsidR="00DB2B63" w:rsidRPr="00140C7C">
        <w:t xml:space="preserve">Guidebook </w:t>
      </w:r>
      <w:r w:rsidRPr="00140C7C">
        <w:t xml:space="preserve">default </w:t>
      </w:r>
      <w:r w:rsidR="00DB2B63" w:rsidRPr="00140C7C">
        <w:t>T</w:t>
      </w:r>
      <w:r w:rsidRPr="00140C7C">
        <w:t xml:space="preserve">ier 2 EFs had been applied, referring to table 3-10 of the EMEP/EEA Guidebook 2019. The ERT noted that the same values are included in the revised estimates as in the official submission. The ERT also noted that there is an error in the underlying calculation sheets, the wrong unit conversion is used: 10^9 instead of 10^12. The ERT recommends </w:t>
      </w:r>
      <w:r w:rsidR="00DB2B63" w:rsidRPr="00140C7C">
        <w:t>Montenegro</w:t>
      </w:r>
      <w:r w:rsidRPr="00140C7C">
        <w:t xml:space="preserve"> to check its Indeno (1,2,3-cd) pyrene emission estimates to ensure accurate estimations and to revise the information provided in the IIR in its next submission.  </w:t>
      </w:r>
    </w:p>
    <w:p w14:paraId="6CB4DB61" w14:textId="77777777" w:rsidR="006B6009" w:rsidRPr="00140C7C" w:rsidRDefault="2A9278A2" w:rsidP="00632720">
      <w:pPr>
        <w:pStyle w:val="berschrift5"/>
      </w:pPr>
      <w:r w:rsidRPr="00140C7C">
        <w:t>Category issue 4: 1.A.1a Solid fuels - benzo(k) fluoranthene</w:t>
      </w:r>
    </w:p>
    <w:p w14:paraId="71510AF3" w14:textId="626AA94B" w:rsidR="006B6009" w:rsidRPr="00140C7C" w:rsidRDefault="2A9278A2" w:rsidP="007F5740">
      <w:pPr>
        <w:pStyle w:val="RegPara"/>
      </w:pPr>
      <w:r w:rsidRPr="00140C7C">
        <w:t xml:space="preserve">In its IIR (page 132), the Party claims to apply the Tier 1 default EFs from 2019 </w:t>
      </w:r>
      <w:r w:rsidR="00282E68" w:rsidRPr="00140C7C">
        <w:t xml:space="preserve">Guidebook </w:t>
      </w:r>
      <w:r w:rsidRPr="00140C7C">
        <w:t xml:space="preserve">for its estimation of benzo(k) fluoranthene emissions in NFR 1A1a. However, the ERT noted that notation key “NO” was reported in NFR. During the review, </w:t>
      </w:r>
      <w:r w:rsidR="00282E68" w:rsidRPr="00140C7C">
        <w:t>Montenegro</w:t>
      </w:r>
      <w:r w:rsidRPr="00140C7C">
        <w:t xml:space="preserve"> explained that there were errors in the underlying calculations and provided revised estimates and explained that the information in the IIR was incorrect, and that, in fact, 2019 </w:t>
      </w:r>
      <w:r w:rsidR="00282E68" w:rsidRPr="00140C7C">
        <w:t xml:space="preserve">Guidebook </w:t>
      </w:r>
      <w:r w:rsidRPr="00140C7C">
        <w:t xml:space="preserve">default </w:t>
      </w:r>
      <w:r w:rsidR="00282E68" w:rsidRPr="00140C7C">
        <w:t>T</w:t>
      </w:r>
      <w:r w:rsidRPr="00140C7C">
        <w:t xml:space="preserve">ier 2 EFs had been applied, referring to table 3-10 of the EMEP/EEA Guidebook 2019. The ERT noted that the revised estimates still refer to "NO". However, in the underlying calculations sheet, the revised estimates include values for this pollutant and source. The ERT recommends </w:t>
      </w:r>
      <w:r w:rsidR="00282E68" w:rsidRPr="00140C7C">
        <w:t>Montenegro</w:t>
      </w:r>
      <w:r w:rsidRPr="00140C7C">
        <w:t xml:space="preserve"> to check its benzo(k) fluoranthene emission estimates to ensure accurate estimations </w:t>
      </w:r>
      <w:r w:rsidR="00282E68" w:rsidRPr="00140C7C">
        <w:t xml:space="preserve">are reported </w:t>
      </w:r>
      <w:r w:rsidRPr="00140C7C">
        <w:t xml:space="preserve">and to revise the information provided in the IIR in its next submission. </w:t>
      </w:r>
    </w:p>
    <w:p w14:paraId="4D1E1013" w14:textId="77777777" w:rsidR="006B6009" w:rsidRPr="00140C7C" w:rsidRDefault="2A9278A2" w:rsidP="00632720">
      <w:pPr>
        <w:pStyle w:val="berschrift5"/>
      </w:pPr>
      <w:r w:rsidRPr="00140C7C">
        <w:t>Category issue 5: 1.A.1a Solid fuels - Total PAH1-4</w:t>
      </w:r>
    </w:p>
    <w:p w14:paraId="155B963A" w14:textId="0871EABE" w:rsidR="006B6009" w:rsidRPr="00140C7C" w:rsidRDefault="2A9278A2" w:rsidP="007F5740">
      <w:pPr>
        <w:pStyle w:val="RegPara"/>
      </w:pPr>
      <w:r w:rsidRPr="00140C7C">
        <w:t xml:space="preserve">The ERT noted that Total PAH1-4 emissions in NFR 1A1a do not correspond to the sum of the induvial PAHs. During the review, </w:t>
      </w:r>
      <w:r w:rsidR="00307B39" w:rsidRPr="00140C7C">
        <w:t>Montenegro</w:t>
      </w:r>
      <w:r w:rsidRPr="00140C7C">
        <w:t xml:space="preserve"> explained that there were errors in the underlying calculations and provided revised estimates and explained that the information in the IIR was incorrect, and that, in fact, 2019 </w:t>
      </w:r>
      <w:r w:rsidR="00307B39" w:rsidRPr="00140C7C">
        <w:t xml:space="preserve">Guidebook </w:t>
      </w:r>
      <w:r w:rsidRPr="00140C7C">
        <w:t xml:space="preserve">default </w:t>
      </w:r>
      <w:r w:rsidR="00307B39" w:rsidRPr="00140C7C">
        <w:t>T</w:t>
      </w:r>
      <w:r w:rsidRPr="00140C7C">
        <w:t xml:space="preserve">ier 2 EFs had been applied, referring to table 3-10 of the EMEP/EEA Guidebook 2019. However, the ERT noted that the revised estimates are not correctly calculated and that the total PAH1-4 emissions do not correspond to the sum of the individual PAHs. The ERT recommends </w:t>
      </w:r>
      <w:r w:rsidR="00307B39" w:rsidRPr="00140C7C">
        <w:t>Montenegro</w:t>
      </w:r>
      <w:r w:rsidRPr="00140C7C">
        <w:t xml:space="preserve"> to check its Total PAH1-4 emission estimates to ensure accurate estimations and to revise the information provided in the IIR in its next submission.</w:t>
      </w:r>
    </w:p>
    <w:p w14:paraId="759EE311" w14:textId="77777777" w:rsidR="006B6009" w:rsidRPr="00140C7C" w:rsidRDefault="2A9278A2" w:rsidP="00632720">
      <w:pPr>
        <w:pStyle w:val="berschrift5"/>
      </w:pPr>
      <w:r w:rsidRPr="00140C7C">
        <w:lastRenderedPageBreak/>
        <w:t>Category issue 6: 1.A.1a Solid fuels - PCB</w:t>
      </w:r>
    </w:p>
    <w:p w14:paraId="6B7A05A0" w14:textId="2288D6D7" w:rsidR="006B6009" w:rsidRPr="00140C7C" w:rsidRDefault="2A9278A2" w:rsidP="007F5740">
      <w:pPr>
        <w:pStyle w:val="RegPara"/>
      </w:pPr>
      <w:r w:rsidRPr="00140C7C">
        <w:t>The ERT noted that the PCB emissions in 1A1a are significantly higher than expected. In its IIR (page 132), the Party provides EF used for estimations, referring to Tier 1 default values from 2019</w:t>
      </w:r>
      <w:r w:rsidR="001A3ED6" w:rsidRPr="00140C7C">
        <w:t xml:space="preserve"> Guidebook</w:t>
      </w:r>
      <w:r w:rsidRPr="00140C7C">
        <w:t>. However, the ERT noted that the reported values do not correspond to the reported AD and the Tier 1 default EFs from 2019</w:t>
      </w:r>
      <w:r w:rsidR="001A3ED6" w:rsidRPr="00140C7C">
        <w:t xml:space="preserve"> Guidebook</w:t>
      </w:r>
      <w:r w:rsidRPr="00140C7C">
        <w:t xml:space="preserve"> (3.3 ng/GJ for solid fuels). During the review, </w:t>
      </w:r>
      <w:r w:rsidR="001A3ED6" w:rsidRPr="00140C7C">
        <w:t xml:space="preserve">Montenegro </w:t>
      </w:r>
      <w:r w:rsidRPr="00140C7C">
        <w:t>explained that there were errors in the underlying calculations and provided revised estimates and explained that the information in the IIR was incorrect, and that, in fact, 2019</w:t>
      </w:r>
      <w:r w:rsidR="001A3ED6" w:rsidRPr="00140C7C">
        <w:t xml:space="preserve"> Guidebook</w:t>
      </w:r>
      <w:r w:rsidRPr="00140C7C">
        <w:t xml:space="preserve"> default </w:t>
      </w:r>
      <w:r w:rsidR="001A3ED6" w:rsidRPr="00140C7C">
        <w:t>T</w:t>
      </w:r>
      <w:r w:rsidRPr="00140C7C">
        <w:t xml:space="preserve">ier 2 EFs had been applied, referring to table 3-10 of the EMEP/EEA Guidebook 2019. The ERT noted that the revised estimates include an EF for PCB of 2.1 ng/GJ and that the Tier 2 EF in EMEP/EEA Guidebook 2019 (table 3-10) is 3.3 ng/GJ. The ERT recommends </w:t>
      </w:r>
      <w:r w:rsidR="001A3ED6" w:rsidRPr="00140C7C">
        <w:t>Montenegro</w:t>
      </w:r>
      <w:r w:rsidRPr="00140C7C">
        <w:t xml:space="preserve"> to check its PCB emission estimates to ensure accurate estimations and to revise the information provided in the IIR in its next submission.</w:t>
      </w:r>
    </w:p>
    <w:p w14:paraId="4336AE1B" w14:textId="77777777" w:rsidR="006B6009" w:rsidRPr="00140C7C" w:rsidRDefault="2A9278A2" w:rsidP="00632720">
      <w:pPr>
        <w:pStyle w:val="berschrift5"/>
      </w:pPr>
      <w:r w:rsidRPr="00140C7C">
        <w:t>Category issue 7: 1.A.2c, 1A2e Liquid fuels, Biomass - BC</w:t>
      </w:r>
    </w:p>
    <w:p w14:paraId="23C219B4" w14:textId="2B9F7B78" w:rsidR="006B6009" w:rsidRPr="00140C7C" w:rsidRDefault="2A9278A2" w:rsidP="007F5740">
      <w:pPr>
        <w:pStyle w:val="RegPara"/>
      </w:pPr>
      <w:r w:rsidRPr="00140C7C">
        <w:t>The ERT noted that the BC emissions in NFR 1A2c and 1A2e are higher than respective PM</w:t>
      </w:r>
      <w:r w:rsidRPr="00140C7C">
        <w:rPr>
          <w:vertAlign w:val="subscript"/>
        </w:rPr>
        <w:t xml:space="preserve">2.5 </w:t>
      </w:r>
      <w:r w:rsidRPr="00140C7C">
        <w:t>emissions. The ERT noted that the PM</w:t>
      </w:r>
      <w:r w:rsidRPr="00140C7C">
        <w:rPr>
          <w:vertAlign w:val="subscript"/>
        </w:rPr>
        <w:t xml:space="preserve">2.5 </w:t>
      </w:r>
      <w:r w:rsidRPr="00140C7C">
        <w:t xml:space="preserve">emissions seem to be correctly estimated. During the review, </w:t>
      </w:r>
      <w:r w:rsidR="00E96370" w:rsidRPr="00140C7C">
        <w:t>Montenegro</w:t>
      </w:r>
      <w:r w:rsidRPr="00140C7C">
        <w:t xml:space="preserve"> explained that there were errors in the underlying calculations and provided revised estimates together with underlying AD and EF. The ERT noted that the revised estimates are referred to as ‘1A2i’ by the Party and do not correspond at all to the previously submitted data for 1A2e. The ERT recommends </w:t>
      </w:r>
      <w:r w:rsidR="00E96370" w:rsidRPr="00140C7C">
        <w:t>Montenegro</w:t>
      </w:r>
      <w:r w:rsidRPr="00140C7C">
        <w:t xml:space="preserve"> to check its BC emission estimates to ensure accurate estimations and to revise the information provided in the IIR in its next submission. </w:t>
      </w:r>
    </w:p>
    <w:p w14:paraId="6860C456" w14:textId="77777777" w:rsidR="006B6009" w:rsidRPr="00140C7C" w:rsidRDefault="2A9278A2" w:rsidP="00632720">
      <w:pPr>
        <w:pStyle w:val="berschrift5"/>
      </w:pPr>
      <w:r w:rsidRPr="00140C7C">
        <w:t>Category issue 8: 1.A.4bi Biomass – All pollutants</w:t>
      </w:r>
    </w:p>
    <w:p w14:paraId="63590F0D" w14:textId="44A810CC" w:rsidR="006B6009" w:rsidRPr="00140C7C" w:rsidRDefault="2A9278A2" w:rsidP="007F5740">
      <w:pPr>
        <w:pStyle w:val="RegPara"/>
      </w:pPr>
      <w:r w:rsidRPr="00140C7C">
        <w:t xml:space="preserve">In its IIR (page 277) the Party claims to apply the Tier 1 default EFs from 2019 </w:t>
      </w:r>
      <w:r w:rsidR="00E96370" w:rsidRPr="00140C7C">
        <w:t xml:space="preserve">Guidebook </w:t>
      </w:r>
      <w:r w:rsidRPr="00140C7C">
        <w:t xml:space="preserve">for its estimation of emissions from NFR 1A4bi (Residential: Stationary). However, the ERT noted that the EFs provided in IIR table 3.124 do not correspond to the 2019 </w:t>
      </w:r>
      <w:r w:rsidR="00E96370" w:rsidRPr="00140C7C">
        <w:t xml:space="preserve">Guidebook </w:t>
      </w:r>
      <w:r w:rsidRPr="00140C7C">
        <w:t xml:space="preserve">default Tier 1 factors. During the review, </w:t>
      </w:r>
      <w:r w:rsidR="00E96370" w:rsidRPr="00140C7C">
        <w:t>Montenegro</w:t>
      </w:r>
      <w:r w:rsidRPr="00140C7C">
        <w:t xml:space="preserve"> provided the correct references to the EFs. The ERT recommends </w:t>
      </w:r>
      <w:r w:rsidR="00E96370" w:rsidRPr="00140C7C">
        <w:t>Montenegro</w:t>
      </w:r>
      <w:r w:rsidRPr="00140C7C">
        <w:t xml:space="preserve"> to revise the information provided in the IIR in its next submission.</w:t>
      </w:r>
    </w:p>
    <w:p w14:paraId="6AA35091" w14:textId="77777777" w:rsidR="006B6009" w:rsidRPr="00140C7C" w:rsidRDefault="2A9278A2" w:rsidP="00632720">
      <w:pPr>
        <w:pStyle w:val="berschrift5"/>
      </w:pPr>
      <w:r w:rsidRPr="00140C7C">
        <w:t>Category issue 9: 1.A.4bi Biomass – NOx, NMVOC, NH</w:t>
      </w:r>
      <w:r w:rsidRPr="00140C7C">
        <w:rPr>
          <w:vertAlign w:val="subscript"/>
        </w:rPr>
        <w:t>3</w:t>
      </w:r>
      <w:r w:rsidRPr="00140C7C">
        <w:t>, BC and dioxin</w:t>
      </w:r>
    </w:p>
    <w:p w14:paraId="1656CBA1" w14:textId="434CCE53" w:rsidR="006B6009" w:rsidRPr="00140C7C" w:rsidRDefault="2A9278A2" w:rsidP="007F5740">
      <w:pPr>
        <w:pStyle w:val="RegPara"/>
      </w:pPr>
      <w:r w:rsidRPr="00140C7C">
        <w:t>The ERT noted that the reported emissions of NOx, NMVOC, NH</w:t>
      </w:r>
      <w:r w:rsidRPr="00140C7C">
        <w:rPr>
          <w:vertAlign w:val="subscript"/>
        </w:rPr>
        <w:t>3</w:t>
      </w:r>
      <w:r w:rsidRPr="00140C7C">
        <w:t>, BC and dioxin in 1A4bi do not correspond to the reported AD and the Tier 1 default EFs from 2019</w:t>
      </w:r>
      <w:r w:rsidR="00E96370" w:rsidRPr="00140C7C">
        <w:t xml:space="preserve"> Guidebook</w:t>
      </w:r>
      <w:r w:rsidRPr="00140C7C">
        <w:t xml:space="preserve">. During the review, </w:t>
      </w:r>
      <w:r w:rsidR="00E96370" w:rsidRPr="00140C7C">
        <w:t>Montenegro</w:t>
      </w:r>
      <w:r w:rsidRPr="00140C7C">
        <w:t xml:space="preserve"> provided the correct references to the EFs and revised estimates together with underlying AD and EF. However, the ERT noted errors in the underlying calculation sheets regarding unit conversion. The ERT recommends </w:t>
      </w:r>
      <w:r w:rsidR="00E96370" w:rsidRPr="00140C7C">
        <w:t>Montenegro</w:t>
      </w:r>
      <w:r w:rsidRPr="00140C7C">
        <w:t xml:space="preserve"> to check its NOx, NMVOC, NH</w:t>
      </w:r>
      <w:r w:rsidRPr="00140C7C">
        <w:rPr>
          <w:vertAlign w:val="subscript"/>
        </w:rPr>
        <w:t>3</w:t>
      </w:r>
      <w:r w:rsidRPr="00140C7C">
        <w:t>, BC and dioxin emission estimates to ensure accurate estimations and to revise the information provided in the IIR in its next submission.</w:t>
      </w:r>
    </w:p>
    <w:p w14:paraId="1ACEAA1F" w14:textId="77777777" w:rsidR="006B6009" w:rsidRPr="00140C7C" w:rsidRDefault="2A9278A2" w:rsidP="00632720">
      <w:pPr>
        <w:pStyle w:val="berschrift5"/>
      </w:pPr>
      <w:r w:rsidRPr="00140C7C">
        <w:t>Category issue 10: 1.A.4bi Biomass – Total PAH1-4</w:t>
      </w:r>
    </w:p>
    <w:p w14:paraId="74B8F2B8" w14:textId="610CA7FC" w:rsidR="00BA1F33" w:rsidRPr="00140C7C" w:rsidRDefault="2A9278A2" w:rsidP="007F5740">
      <w:pPr>
        <w:pStyle w:val="RegPara"/>
      </w:pPr>
      <w:r w:rsidRPr="00140C7C">
        <w:t xml:space="preserve">The ERT noted that Total PAH1-4 emissions in NFR 1A4bi do not correspond to the sum of the induvial PAHs. During the review, </w:t>
      </w:r>
      <w:r w:rsidR="00E96370" w:rsidRPr="00140C7C">
        <w:t>Montenegro</w:t>
      </w:r>
      <w:r w:rsidRPr="00140C7C">
        <w:t xml:space="preserve"> explained that there were errors in the underlying calculations and provided revised estimates. The ERT </w:t>
      </w:r>
      <w:r w:rsidRPr="00140C7C">
        <w:lastRenderedPageBreak/>
        <w:t xml:space="preserve">agrees with the revised estimates and recommends that </w:t>
      </w:r>
      <w:r w:rsidR="00E96370" w:rsidRPr="00140C7C">
        <w:t>Montenegro</w:t>
      </w:r>
      <w:r w:rsidRPr="00140C7C">
        <w:t xml:space="preserve"> include the revised estimates in in its next submission.</w:t>
      </w:r>
    </w:p>
    <w:p w14:paraId="7644704E" w14:textId="77777777" w:rsidR="00C135AE" w:rsidRDefault="001E7DC9" w:rsidP="2A9278A2">
      <w:pPr>
        <w:pStyle w:val="berschrift2"/>
        <w:rPr>
          <w:rFonts w:eastAsia="MS Mincho"/>
          <w:lang w:eastAsia="ja-JP"/>
        </w:rPr>
      </w:pPr>
      <w:r>
        <w:rPr>
          <w:rFonts w:eastAsia="MS Mincho"/>
          <w:lang w:eastAsia="ja-JP"/>
        </w:rPr>
        <w:br w:type="page"/>
      </w:r>
      <w:bookmarkStart w:id="35" w:name="_Toc79490433"/>
      <w:r w:rsidR="005C7B07">
        <w:rPr>
          <w:rFonts w:eastAsia="MS Mincho"/>
          <w:lang w:eastAsia="ja-JP"/>
        </w:rPr>
        <w:lastRenderedPageBreak/>
        <w:t>T</w:t>
      </w:r>
      <w:r w:rsidR="00C135AE">
        <w:rPr>
          <w:rFonts w:eastAsia="MS Mincho"/>
          <w:lang w:eastAsia="ja-JP"/>
        </w:rPr>
        <w:t>ransport</w:t>
      </w:r>
      <w:bookmarkEnd w:id="35"/>
    </w:p>
    <w:p w14:paraId="61F06C3B" w14:textId="77777777" w:rsidR="002778EB" w:rsidRPr="00EB2D17" w:rsidRDefault="2A9278A2" w:rsidP="002778EB">
      <w:pPr>
        <w:pStyle w:val="berschrift4"/>
      </w:pPr>
      <w:r>
        <w:t>Review Scope</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1"/>
        <w:gridCol w:w="3260"/>
        <w:gridCol w:w="993"/>
        <w:gridCol w:w="992"/>
        <w:gridCol w:w="1754"/>
      </w:tblGrid>
      <w:tr w:rsidR="002778EB" w:rsidRPr="00EB2D17" w14:paraId="62CE9261" w14:textId="77777777" w:rsidTr="2A9278A2">
        <w:trPr>
          <w:trHeight w:val="255"/>
        </w:trPr>
        <w:tc>
          <w:tcPr>
            <w:tcW w:w="4541" w:type="dxa"/>
            <w:gridSpan w:val="2"/>
            <w:shd w:val="clear" w:color="auto" w:fill="CCCCCC"/>
            <w:noWrap/>
            <w:vAlign w:val="center"/>
          </w:tcPr>
          <w:p w14:paraId="5F7508FF" w14:textId="77777777" w:rsidR="002778EB" w:rsidRPr="00EB2D17" w:rsidRDefault="002778EB" w:rsidP="00632720">
            <w:pPr>
              <w:pStyle w:val="berschrift5"/>
            </w:pPr>
            <w:bookmarkStart w:id="36" w:name="_Hlk44506570"/>
            <w:r w:rsidRPr="00EB2D17">
              <w:t>Pollutants Reviewed</w:t>
            </w:r>
          </w:p>
        </w:tc>
        <w:tc>
          <w:tcPr>
            <w:tcW w:w="3739" w:type="dxa"/>
            <w:gridSpan w:val="3"/>
            <w:shd w:val="clear" w:color="auto" w:fill="FFFFFF" w:themeFill="background1"/>
            <w:vAlign w:val="center"/>
          </w:tcPr>
          <w:p w14:paraId="27E6F841" w14:textId="77777777" w:rsidR="002778EB" w:rsidRPr="00EB2D17" w:rsidRDefault="2A9278A2" w:rsidP="00504A09">
            <w:pPr>
              <w:pStyle w:val="TableText"/>
            </w:pPr>
            <w:r>
              <w:t>All</w:t>
            </w:r>
          </w:p>
        </w:tc>
      </w:tr>
      <w:tr w:rsidR="002778EB" w:rsidRPr="00EB2D17" w14:paraId="4A3BBA31" w14:textId="77777777" w:rsidTr="2A9278A2">
        <w:trPr>
          <w:trHeight w:val="255"/>
        </w:trPr>
        <w:tc>
          <w:tcPr>
            <w:tcW w:w="4541" w:type="dxa"/>
            <w:gridSpan w:val="2"/>
            <w:shd w:val="clear" w:color="auto" w:fill="CCCCCC"/>
            <w:noWrap/>
            <w:vAlign w:val="center"/>
          </w:tcPr>
          <w:p w14:paraId="29D278FE" w14:textId="77777777" w:rsidR="002778EB" w:rsidRPr="00EB2D17" w:rsidRDefault="2A9278A2" w:rsidP="2A9278A2">
            <w:pPr>
              <w:pStyle w:val="TableText"/>
              <w:rPr>
                <w:b/>
                <w:bCs/>
              </w:rPr>
            </w:pPr>
            <w:r w:rsidRPr="2A9278A2">
              <w:rPr>
                <w:b/>
                <w:bCs/>
              </w:rPr>
              <w:t>Years</w:t>
            </w:r>
          </w:p>
        </w:tc>
        <w:tc>
          <w:tcPr>
            <w:tcW w:w="3739" w:type="dxa"/>
            <w:gridSpan w:val="3"/>
            <w:shd w:val="clear" w:color="auto" w:fill="FFFFFF" w:themeFill="background1"/>
            <w:vAlign w:val="center"/>
          </w:tcPr>
          <w:p w14:paraId="0A787561" w14:textId="77777777" w:rsidR="002778EB" w:rsidRPr="00EB2D17" w:rsidRDefault="2A9278A2" w:rsidP="00504A09">
            <w:pPr>
              <w:pStyle w:val="TableText"/>
            </w:pPr>
            <w:r>
              <w:t>1990 – 2019</w:t>
            </w:r>
          </w:p>
        </w:tc>
      </w:tr>
      <w:tr w:rsidR="002778EB" w:rsidRPr="00EB2D17" w14:paraId="47A99843" w14:textId="77777777" w:rsidTr="2A9278A2">
        <w:trPr>
          <w:trHeight w:val="255"/>
        </w:trPr>
        <w:tc>
          <w:tcPr>
            <w:tcW w:w="1281" w:type="dxa"/>
            <w:shd w:val="clear" w:color="auto" w:fill="CCCCCC"/>
            <w:noWrap/>
            <w:vAlign w:val="center"/>
          </w:tcPr>
          <w:p w14:paraId="7062CD3A" w14:textId="77777777" w:rsidR="002778EB" w:rsidRPr="00EB2D17" w:rsidRDefault="2A9278A2" w:rsidP="2A9278A2">
            <w:pPr>
              <w:pStyle w:val="TableText"/>
              <w:jc w:val="center"/>
              <w:rPr>
                <w:rFonts w:eastAsia="Arial Unicode MS"/>
                <w:b/>
                <w:bCs/>
              </w:rPr>
            </w:pPr>
            <w:r w:rsidRPr="2A9278A2">
              <w:rPr>
                <w:b/>
                <w:bCs/>
              </w:rPr>
              <w:t>Code</w:t>
            </w:r>
          </w:p>
        </w:tc>
        <w:tc>
          <w:tcPr>
            <w:tcW w:w="3260" w:type="dxa"/>
            <w:shd w:val="clear" w:color="auto" w:fill="CCCCCC"/>
            <w:vAlign w:val="center"/>
          </w:tcPr>
          <w:p w14:paraId="19682BB3" w14:textId="77777777" w:rsidR="002778EB" w:rsidRPr="00EB2D17" w:rsidRDefault="2A9278A2" w:rsidP="2A9278A2">
            <w:pPr>
              <w:pStyle w:val="TableText"/>
              <w:jc w:val="center"/>
              <w:rPr>
                <w:b/>
                <w:bCs/>
              </w:rPr>
            </w:pPr>
            <w:r w:rsidRPr="2A9278A2">
              <w:rPr>
                <w:b/>
                <w:bCs/>
              </w:rPr>
              <w:t>Name</w:t>
            </w:r>
          </w:p>
        </w:tc>
        <w:tc>
          <w:tcPr>
            <w:tcW w:w="993" w:type="dxa"/>
            <w:shd w:val="clear" w:color="auto" w:fill="CCCCCC"/>
            <w:vAlign w:val="center"/>
          </w:tcPr>
          <w:p w14:paraId="4C612ECB" w14:textId="77777777" w:rsidR="002778EB" w:rsidRPr="00EB2D17" w:rsidRDefault="2A9278A2" w:rsidP="2A9278A2">
            <w:pPr>
              <w:pStyle w:val="TableText"/>
              <w:jc w:val="center"/>
              <w:rPr>
                <w:b/>
                <w:bCs/>
              </w:rPr>
            </w:pPr>
            <w:r w:rsidRPr="2A9278A2">
              <w:rPr>
                <w:b/>
                <w:bCs/>
              </w:rPr>
              <w:t>Reviewed</w:t>
            </w:r>
          </w:p>
        </w:tc>
        <w:tc>
          <w:tcPr>
            <w:tcW w:w="992" w:type="dxa"/>
            <w:shd w:val="clear" w:color="auto" w:fill="CCCCCC"/>
            <w:vAlign w:val="center"/>
          </w:tcPr>
          <w:p w14:paraId="474D0780" w14:textId="77777777" w:rsidR="002778EB" w:rsidRPr="00EB2D17" w:rsidRDefault="2A9278A2" w:rsidP="2A9278A2">
            <w:pPr>
              <w:pStyle w:val="TableText"/>
              <w:jc w:val="center"/>
              <w:rPr>
                <w:b/>
                <w:bCs/>
              </w:rPr>
            </w:pPr>
            <w:r w:rsidRPr="2A9278A2">
              <w:rPr>
                <w:b/>
                <w:bCs/>
              </w:rPr>
              <w:t>Not Reviewed</w:t>
            </w:r>
          </w:p>
        </w:tc>
        <w:tc>
          <w:tcPr>
            <w:tcW w:w="1754" w:type="dxa"/>
            <w:shd w:val="clear" w:color="auto" w:fill="CCCCCC"/>
            <w:vAlign w:val="center"/>
          </w:tcPr>
          <w:p w14:paraId="71258699" w14:textId="77777777" w:rsidR="002778EB" w:rsidRPr="00EB2D17" w:rsidRDefault="2A9278A2" w:rsidP="2A9278A2">
            <w:pPr>
              <w:pStyle w:val="TableText"/>
              <w:jc w:val="center"/>
              <w:rPr>
                <w:b/>
                <w:bCs/>
              </w:rPr>
            </w:pPr>
            <w:r w:rsidRPr="2A9278A2">
              <w:rPr>
                <w:b/>
                <w:bCs/>
              </w:rPr>
              <w:t>Recommendation Provided</w:t>
            </w:r>
          </w:p>
        </w:tc>
      </w:tr>
      <w:tr w:rsidR="002778EB" w:rsidRPr="00EB2D17" w14:paraId="7C94479D" w14:textId="77777777" w:rsidTr="2A9278A2">
        <w:tc>
          <w:tcPr>
            <w:tcW w:w="1281" w:type="dxa"/>
            <w:shd w:val="clear" w:color="auto" w:fill="E0E0E0"/>
            <w:noWrap/>
            <w:vAlign w:val="center"/>
          </w:tcPr>
          <w:p w14:paraId="504325C5" w14:textId="77777777" w:rsidR="002778EB" w:rsidRPr="00EB2D17" w:rsidRDefault="2A9278A2" w:rsidP="00504A09">
            <w:pPr>
              <w:pStyle w:val="TableText"/>
            </w:pPr>
            <w:r>
              <w:t>1A2gvii</w:t>
            </w:r>
          </w:p>
        </w:tc>
        <w:tc>
          <w:tcPr>
            <w:tcW w:w="3260" w:type="dxa"/>
            <w:shd w:val="clear" w:color="auto" w:fill="E0E0E0"/>
            <w:vAlign w:val="center"/>
          </w:tcPr>
          <w:p w14:paraId="3B0CD1D4" w14:textId="77777777" w:rsidR="002778EB" w:rsidRPr="00EB2D17" w:rsidRDefault="2A9278A2" w:rsidP="00504A09">
            <w:pPr>
              <w:pStyle w:val="TableText"/>
            </w:pPr>
            <w:r>
              <w:t>Mobile Combustion in manufacturing industries and construction</w:t>
            </w:r>
          </w:p>
        </w:tc>
        <w:tc>
          <w:tcPr>
            <w:tcW w:w="993" w:type="dxa"/>
            <w:vAlign w:val="center"/>
          </w:tcPr>
          <w:p w14:paraId="75DA94FE" w14:textId="77777777" w:rsidR="002778EB" w:rsidRPr="00EB2D17" w:rsidRDefault="2A9278A2" w:rsidP="00504A09">
            <w:pPr>
              <w:pStyle w:val="TableText"/>
              <w:jc w:val="center"/>
            </w:pPr>
            <w:r>
              <w:t>IE</w:t>
            </w:r>
          </w:p>
        </w:tc>
        <w:tc>
          <w:tcPr>
            <w:tcW w:w="992" w:type="dxa"/>
            <w:vAlign w:val="center"/>
          </w:tcPr>
          <w:p w14:paraId="5D92D274" w14:textId="77777777" w:rsidR="002778EB" w:rsidRPr="00EB2D17" w:rsidRDefault="002778EB" w:rsidP="00504A09">
            <w:pPr>
              <w:pStyle w:val="TableText"/>
              <w:jc w:val="center"/>
            </w:pPr>
          </w:p>
        </w:tc>
        <w:tc>
          <w:tcPr>
            <w:tcW w:w="1754" w:type="dxa"/>
            <w:vAlign w:val="center"/>
          </w:tcPr>
          <w:p w14:paraId="64A0817B" w14:textId="77777777" w:rsidR="002778EB" w:rsidRPr="00EB2D17" w:rsidRDefault="2A9278A2" w:rsidP="00504A09">
            <w:pPr>
              <w:pStyle w:val="TableText"/>
              <w:jc w:val="center"/>
            </w:pPr>
            <w:r>
              <w:t>x</w:t>
            </w:r>
          </w:p>
        </w:tc>
      </w:tr>
      <w:tr w:rsidR="002778EB" w:rsidRPr="00D26968" w14:paraId="43E7EFFB" w14:textId="77777777" w:rsidTr="2A9278A2">
        <w:tc>
          <w:tcPr>
            <w:tcW w:w="1281" w:type="dxa"/>
            <w:shd w:val="clear" w:color="auto" w:fill="E0E0E0"/>
            <w:noWrap/>
            <w:vAlign w:val="center"/>
          </w:tcPr>
          <w:p w14:paraId="5F8C3C82" w14:textId="77777777" w:rsidR="002778EB" w:rsidRPr="00D26968" w:rsidRDefault="2A9278A2" w:rsidP="00504A09">
            <w:pPr>
              <w:pStyle w:val="TableText"/>
            </w:pPr>
            <w:r>
              <w:t>1A3ai(i)</w:t>
            </w:r>
          </w:p>
        </w:tc>
        <w:tc>
          <w:tcPr>
            <w:tcW w:w="3260" w:type="dxa"/>
            <w:shd w:val="clear" w:color="auto" w:fill="E0E0E0"/>
            <w:vAlign w:val="center"/>
          </w:tcPr>
          <w:p w14:paraId="21FA256A" w14:textId="77777777" w:rsidR="002778EB" w:rsidRPr="00D26968" w:rsidRDefault="2A9278A2" w:rsidP="00504A09">
            <w:pPr>
              <w:pStyle w:val="TableText"/>
            </w:pPr>
            <w:r>
              <w:t>International aviation LTO (civil)</w:t>
            </w:r>
          </w:p>
        </w:tc>
        <w:tc>
          <w:tcPr>
            <w:tcW w:w="993" w:type="dxa"/>
            <w:vAlign w:val="center"/>
          </w:tcPr>
          <w:p w14:paraId="147A135A" w14:textId="77777777" w:rsidR="002778EB" w:rsidRPr="00D26968" w:rsidRDefault="2A9278A2" w:rsidP="00504A09">
            <w:pPr>
              <w:pStyle w:val="TableText"/>
              <w:jc w:val="center"/>
            </w:pPr>
            <w:r>
              <w:t>x</w:t>
            </w:r>
          </w:p>
        </w:tc>
        <w:tc>
          <w:tcPr>
            <w:tcW w:w="992" w:type="dxa"/>
            <w:vAlign w:val="center"/>
          </w:tcPr>
          <w:p w14:paraId="2A450DE2" w14:textId="77777777" w:rsidR="002778EB" w:rsidRPr="00D26968" w:rsidRDefault="002778EB" w:rsidP="00504A09">
            <w:pPr>
              <w:pStyle w:val="TableText"/>
              <w:jc w:val="center"/>
            </w:pPr>
          </w:p>
        </w:tc>
        <w:tc>
          <w:tcPr>
            <w:tcW w:w="1754" w:type="dxa"/>
          </w:tcPr>
          <w:p w14:paraId="363254B2" w14:textId="77777777" w:rsidR="002778EB" w:rsidRPr="00D26968" w:rsidRDefault="2A9278A2" w:rsidP="00504A09">
            <w:pPr>
              <w:pStyle w:val="TableText"/>
              <w:jc w:val="center"/>
            </w:pPr>
            <w:r>
              <w:t>x</w:t>
            </w:r>
          </w:p>
        </w:tc>
      </w:tr>
      <w:tr w:rsidR="002778EB" w:rsidRPr="00D26968" w14:paraId="6458282A" w14:textId="77777777" w:rsidTr="2A9278A2">
        <w:tc>
          <w:tcPr>
            <w:tcW w:w="1281" w:type="dxa"/>
            <w:shd w:val="clear" w:color="auto" w:fill="E0E0E0"/>
            <w:noWrap/>
            <w:vAlign w:val="center"/>
          </w:tcPr>
          <w:p w14:paraId="33EE3651" w14:textId="77777777" w:rsidR="002778EB" w:rsidRPr="00D26968" w:rsidRDefault="2A9278A2" w:rsidP="00504A09">
            <w:pPr>
              <w:pStyle w:val="TableText"/>
            </w:pPr>
            <w:r>
              <w:t>1A3ai(ii)</w:t>
            </w:r>
          </w:p>
        </w:tc>
        <w:tc>
          <w:tcPr>
            <w:tcW w:w="3260" w:type="dxa"/>
            <w:shd w:val="clear" w:color="auto" w:fill="E0E0E0"/>
            <w:vAlign w:val="center"/>
          </w:tcPr>
          <w:p w14:paraId="54A69BDD" w14:textId="77777777" w:rsidR="002778EB" w:rsidRPr="00D26968" w:rsidRDefault="2A9278A2" w:rsidP="00504A09">
            <w:pPr>
              <w:pStyle w:val="TableText"/>
            </w:pPr>
            <w:r>
              <w:t>International aviation cruise (civil)</w:t>
            </w:r>
          </w:p>
        </w:tc>
        <w:tc>
          <w:tcPr>
            <w:tcW w:w="993" w:type="dxa"/>
            <w:vAlign w:val="center"/>
          </w:tcPr>
          <w:p w14:paraId="16B65058" w14:textId="77777777" w:rsidR="002778EB" w:rsidRPr="00D26968" w:rsidRDefault="2A9278A2" w:rsidP="00504A09">
            <w:pPr>
              <w:pStyle w:val="TableText"/>
              <w:jc w:val="center"/>
            </w:pPr>
            <w:r>
              <w:t>x</w:t>
            </w:r>
          </w:p>
        </w:tc>
        <w:tc>
          <w:tcPr>
            <w:tcW w:w="992" w:type="dxa"/>
            <w:vAlign w:val="center"/>
          </w:tcPr>
          <w:p w14:paraId="6B34F863" w14:textId="77777777" w:rsidR="002778EB" w:rsidRPr="00D26968" w:rsidRDefault="002778EB" w:rsidP="00504A09">
            <w:pPr>
              <w:pStyle w:val="TableText"/>
              <w:jc w:val="center"/>
            </w:pPr>
          </w:p>
        </w:tc>
        <w:tc>
          <w:tcPr>
            <w:tcW w:w="1754" w:type="dxa"/>
          </w:tcPr>
          <w:p w14:paraId="6A29E58C" w14:textId="77777777" w:rsidR="002778EB" w:rsidRPr="00D26968" w:rsidRDefault="2A9278A2" w:rsidP="00504A09">
            <w:pPr>
              <w:pStyle w:val="TableText"/>
              <w:jc w:val="center"/>
            </w:pPr>
            <w:r>
              <w:t>x</w:t>
            </w:r>
          </w:p>
        </w:tc>
      </w:tr>
      <w:tr w:rsidR="002778EB" w:rsidRPr="00D26968" w14:paraId="420E89E3" w14:textId="77777777" w:rsidTr="2A9278A2">
        <w:tc>
          <w:tcPr>
            <w:tcW w:w="1281" w:type="dxa"/>
            <w:shd w:val="clear" w:color="auto" w:fill="E0E0E0"/>
            <w:noWrap/>
            <w:vAlign w:val="center"/>
          </w:tcPr>
          <w:p w14:paraId="2509BA36" w14:textId="77777777" w:rsidR="002778EB" w:rsidRPr="00D26968" w:rsidRDefault="2A9278A2" w:rsidP="00504A09">
            <w:pPr>
              <w:pStyle w:val="TableText"/>
            </w:pPr>
            <w:r>
              <w:t>1A3aii(i)</w:t>
            </w:r>
          </w:p>
        </w:tc>
        <w:tc>
          <w:tcPr>
            <w:tcW w:w="3260" w:type="dxa"/>
            <w:shd w:val="clear" w:color="auto" w:fill="E0E0E0"/>
            <w:vAlign w:val="center"/>
          </w:tcPr>
          <w:p w14:paraId="01397320" w14:textId="77777777" w:rsidR="002778EB" w:rsidRPr="00D26968" w:rsidRDefault="2A9278A2" w:rsidP="00504A09">
            <w:pPr>
              <w:pStyle w:val="TableText"/>
            </w:pPr>
            <w:r>
              <w:t>Domestic aviation LTO (civil)</w:t>
            </w:r>
          </w:p>
        </w:tc>
        <w:tc>
          <w:tcPr>
            <w:tcW w:w="993" w:type="dxa"/>
            <w:vAlign w:val="center"/>
          </w:tcPr>
          <w:p w14:paraId="14024D5F" w14:textId="77777777" w:rsidR="002778EB" w:rsidRPr="00D26968" w:rsidRDefault="2A9278A2" w:rsidP="00504A09">
            <w:pPr>
              <w:pStyle w:val="TableText"/>
              <w:jc w:val="center"/>
            </w:pPr>
            <w:r>
              <w:t>NO</w:t>
            </w:r>
          </w:p>
        </w:tc>
        <w:tc>
          <w:tcPr>
            <w:tcW w:w="992" w:type="dxa"/>
            <w:vAlign w:val="center"/>
          </w:tcPr>
          <w:p w14:paraId="375EF893" w14:textId="77777777" w:rsidR="002778EB" w:rsidRPr="00D26968" w:rsidRDefault="002778EB" w:rsidP="00504A09">
            <w:pPr>
              <w:pStyle w:val="TableText"/>
              <w:jc w:val="center"/>
            </w:pPr>
          </w:p>
        </w:tc>
        <w:tc>
          <w:tcPr>
            <w:tcW w:w="1754" w:type="dxa"/>
          </w:tcPr>
          <w:p w14:paraId="5172F42F" w14:textId="77777777" w:rsidR="002778EB" w:rsidRPr="00D26968" w:rsidRDefault="2A9278A2" w:rsidP="00504A09">
            <w:pPr>
              <w:pStyle w:val="TableText"/>
              <w:jc w:val="center"/>
            </w:pPr>
            <w:r>
              <w:t>x</w:t>
            </w:r>
          </w:p>
        </w:tc>
      </w:tr>
      <w:tr w:rsidR="002778EB" w:rsidRPr="00EB2D17" w14:paraId="481C491B" w14:textId="77777777" w:rsidTr="2A9278A2">
        <w:tc>
          <w:tcPr>
            <w:tcW w:w="1281" w:type="dxa"/>
            <w:shd w:val="clear" w:color="auto" w:fill="E0E0E0"/>
            <w:noWrap/>
            <w:vAlign w:val="center"/>
          </w:tcPr>
          <w:p w14:paraId="42CCA900" w14:textId="77777777" w:rsidR="002778EB" w:rsidRPr="00D26968" w:rsidRDefault="2A9278A2" w:rsidP="00504A09">
            <w:pPr>
              <w:pStyle w:val="TableText"/>
            </w:pPr>
            <w:r>
              <w:t>1A3aii(ii)</w:t>
            </w:r>
          </w:p>
        </w:tc>
        <w:tc>
          <w:tcPr>
            <w:tcW w:w="3260" w:type="dxa"/>
            <w:shd w:val="clear" w:color="auto" w:fill="E0E0E0"/>
            <w:vAlign w:val="center"/>
          </w:tcPr>
          <w:p w14:paraId="407C2F2E" w14:textId="77777777" w:rsidR="002778EB" w:rsidRPr="00D26968" w:rsidRDefault="2A9278A2" w:rsidP="00504A09">
            <w:pPr>
              <w:pStyle w:val="TableText"/>
            </w:pPr>
            <w:r>
              <w:t>Domestic aviation cruise (civil)</w:t>
            </w:r>
          </w:p>
        </w:tc>
        <w:tc>
          <w:tcPr>
            <w:tcW w:w="993" w:type="dxa"/>
            <w:vAlign w:val="center"/>
          </w:tcPr>
          <w:p w14:paraId="772ACACE" w14:textId="77777777" w:rsidR="002778EB" w:rsidRPr="00D26968" w:rsidRDefault="2A9278A2" w:rsidP="00504A09">
            <w:pPr>
              <w:pStyle w:val="TableText"/>
              <w:jc w:val="center"/>
            </w:pPr>
            <w:r>
              <w:t>NA</w:t>
            </w:r>
          </w:p>
        </w:tc>
        <w:tc>
          <w:tcPr>
            <w:tcW w:w="992" w:type="dxa"/>
            <w:vAlign w:val="center"/>
          </w:tcPr>
          <w:p w14:paraId="3FB32B89" w14:textId="77777777" w:rsidR="002778EB" w:rsidRPr="00D26968" w:rsidRDefault="002778EB" w:rsidP="00504A09">
            <w:pPr>
              <w:pStyle w:val="TableText"/>
              <w:jc w:val="center"/>
            </w:pPr>
          </w:p>
        </w:tc>
        <w:tc>
          <w:tcPr>
            <w:tcW w:w="1754" w:type="dxa"/>
          </w:tcPr>
          <w:p w14:paraId="5799F36C" w14:textId="77777777" w:rsidR="002778EB" w:rsidRPr="00D26968" w:rsidRDefault="2A9278A2" w:rsidP="00504A09">
            <w:pPr>
              <w:pStyle w:val="TableText"/>
              <w:jc w:val="center"/>
            </w:pPr>
            <w:r>
              <w:t>x</w:t>
            </w:r>
          </w:p>
        </w:tc>
      </w:tr>
      <w:tr w:rsidR="002778EB" w:rsidRPr="00EB2D17" w14:paraId="73CAE6BE" w14:textId="77777777" w:rsidTr="2A9278A2">
        <w:tc>
          <w:tcPr>
            <w:tcW w:w="1281" w:type="dxa"/>
            <w:shd w:val="clear" w:color="auto" w:fill="E0E0E0"/>
            <w:noWrap/>
            <w:vAlign w:val="center"/>
          </w:tcPr>
          <w:p w14:paraId="002D669B" w14:textId="77777777" w:rsidR="002778EB" w:rsidRPr="00EB2D17" w:rsidRDefault="2A9278A2" w:rsidP="00504A09">
            <w:pPr>
              <w:pStyle w:val="TableText"/>
            </w:pPr>
            <w:r>
              <w:t>1A3bi</w:t>
            </w:r>
          </w:p>
        </w:tc>
        <w:tc>
          <w:tcPr>
            <w:tcW w:w="3260" w:type="dxa"/>
            <w:shd w:val="clear" w:color="auto" w:fill="E0E0E0"/>
            <w:vAlign w:val="center"/>
          </w:tcPr>
          <w:p w14:paraId="68C5FAF5" w14:textId="77777777" w:rsidR="002778EB" w:rsidRPr="00EB2D17" w:rsidRDefault="2A9278A2" w:rsidP="00504A09">
            <w:pPr>
              <w:pStyle w:val="TableText"/>
            </w:pPr>
            <w:r>
              <w:t>Road transport: Passenger cars</w:t>
            </w:r>
          </w:p>
        </w:tc>
        <w:tc>
          <w:tcPr>
            <w:tcW w:w="993" w:type="dxa"/>
            <w:vAlign w:val="center"/>
          </w:tcPr>
          <w:p w14:paraId="0E39811E" w14:textId="77777777" w:rsidR="002778EB" w:rsidRPr="00EB2D17" w:rsidRDefault="2A9278A2" w:rsidP="00504A09">
            <w:pPr>
              <w:pStyle w:val="TableText"/>
              <w:jc w:val="center"/>
            </w:pPr>
            <w:r>
              <w:t>x</w:t>
            </w:r>
          </w:p>
        </w:tc>
        <w:tc>
          <w:tcPr>
            <w:tcW w:w="992" w:type="dxa"/>
            <w:vAlign w:val="center"/>
          </w:tcPr>
          <w:p w14:paraId="4F1B2447" w14:textId="77777777" w:rsidR="002778EB" w:rsidRPr="00EB2D17" w:rsidRDefault="002778EB" w:rsidP="00504A09">
            <w:pPr>
              <w:pStyle w:val="TableText"/>
              <w:jc w:val="center"/>
            </w:pPr>
          </w:p>
        </w:tc>
        <w:tc>
          <w:tcPr>
            <w:tcW w:w="1754" w:type="dxa"/>
            <w:vAlign w:val="center"/>
          </w:tcPr>
          <w:p w14:paraId="5F4BA377" w14:textId="77777777" w:rsidR="002778EB" w:rsidRPr="00EB2D17" w:rsidRDefault="2A9278A2" w:rsidP="00504A09">
            <w:pPr>
              <w:pStyle w:val="TableText"/>
              <w:jc w:val="center"/>
            </w:pPr>
            <w:r>
              <w:t>x</w:t>
            </w:r>
          </w:p>
        </w:tc>
      </w:tr>
      <w:tr w:rsidR="002778EB" w:rsidRPr="00EB2D17" w14:paraId="6BD48CB1" w14:textId="77777777" w:rsidTr="2A9278A2">
        <w:tc>
          <w:tcPr>
            <w:tcW w:w="1281" w:type="dxa"/>
            <w:shd w:val="clear" w:color="auto" w:fill="E0E0E0"/>
            <w:noWrap/>
            <w:vAlign w:val="center"/>
          </w:tcPr>
          <w:p w14:paraId="4A02F10C" w14:textId="77777777" w:rsidR="002778EB" w:rsidRPr="00EB2D17" w:rsidRDefault="2A9278A2" w:rsidP="00504A09">
            <w:pPr>
              <w:pStyle w:val="TableText"/>
            </w:pPr>
            <w:r>
              <w:t>1A3bii</w:t>
            </w:r>
          </w:p>
        </w:tc>
        <w:tc>
          <w:tcPr>
            <w:tcW w:w="3260" w:type="dxa"/>
            <w:shd w:val="clear" w:color="auto" w:fill="E0E0E0"/>
            <w:vAlign w:val="center"/>
          </w:tcPr>
          <w:p w14:paraId="6DE63418" w14:textId="77777777" w:rsidR="002778EB" w:rsidRPr="00EB2D17" w:rsidRDefault="2A9278A2" w:rsidP="00504A09">
            <w:pPr>
              <w:pStyle w:val="TableText"/>
            </w:pPr>
            <w:r>
              <w:t>Road transport: Light duty vehicles</w:t>
            </w:r>
          </w:p>
        </w:tc>
        <w:tc>
          <w:tcPr>
            <w:tcW w:w="993" w:type="dxa"/>
            <w:vAlign w:val="center"/>
          </w:tcPr>
          <w:p w14:paraId="33697BA6" w14:textId="77777777" w:rsidR="002778EB" w:rsidRPr="00EB2D17" w:rsidRDefault="2A9278A2" w:rsidP="00504A09">
            <w:pPr>
              <w:pStyle w:val="TableText"/>
              <w:jc w:val="center"/>
            </w:pPr>
            <w:r>
              <w:t>x</w:t>
            </w:r>
          </w:p>
        </w:tc>
        <w:tc>
          <w:tcPr>
            <w:tcW w:w="992" w:type="dxa"/>
            <w:vAlign w:val="center"/>
          </w:tcPr>
          <w:p w14:paraId="70B95DC1" w14:textId="77777777" w:rsidR="002778EB" w:rsidRPr="00EB2D17" w:rsidRDefault="002778EB" w:rsidP="00504A09">
            <w:pPr>
              <w:pStyle w:val="TableText"/>
              <w:jc w:val="center"/>
            </w:pPr>
          </w:p>
        </w:tc>
        <w:tc>
          <w:tcPr>
            <w:tcW w:w="1754" w:type="dxa"/>
            <w:vAlign w:val="center"/>
          </w:tcPr>
          <w:p w14:paraId="124E95C6" w14:textId="77777777" w:rsidR="002778EB" w:rsidRPr="00EB2D17" w:rsidRDefault="2A9278A2" w:rsidP="00504A09">
            <w:pPr>
              <w:pStyle w:val="TableText"/>
              <w:jc w:val="center"/>
            </w:pPr>
            <w:r>
              <w:t>x</w:t>
            </w:r>
          </w:p>
        </w:tc>
      </w:tr>
      <w:tr w:rsidR="002778EB" w:rsidRPr="00EB2D17" w14:paraId="587CDA78" w14:textId="77777777" w:rsidTr="2A9278A2">
        <w:tc>
          <w:tcPr>
            <w:tcW w:w="1281" w:type="dxa"/>
            <w:shd w:val="clear" w:color="auto" w:fill="E0E0E0"/>
            <w:noWrap/>
            <w:vAlign w:val="center"/>
          </w:tcPr>
          <w:p w14:paraId="5426523E" w14:textId="77777777" w:rsidR="002778EB" w:rsidRPr="00EB2D17" w:rsidRDefault="2A9278A2" w:rsidP="00504A09">
            <w:pPr>
              <w:pStyle w:val="TableText"/>
            </w:pPr>
            <w:r>
              <w:t>1A3biii</w:t>
            </w:r>
          </w:p>
        </w:tc>
        <w:tc>
          <w:tcPr>
            <w:tcW w:w="3260" w:type="dxa"/>
            <w:shd w:val="clear" w:color="auto" w:fill="E0E0E0"/>
            <w:vAlign w:val="center"/>
          </w:tcPr>
          <w:p w14:paraId="5D2DFCBF" w14:textId="77777777" w:rsidR="002778EB" w:rsidRPr="00EB2D17" w:rsidRDefault="2A9278A2" w:rsidP="00504A09">
            <w:pPr>
              <w:pStyle w:val="TableText"/>
            </w:pPr>
            <w:r>
              <w:t>Road transport: Heavy duty vehicles and buses</w:t>
            </w:r>
          </w:p>
        </w:tc>
        <w:tc>
          <w:tcPr>
            <w:tcW w:w="993" w:type="dxa"/>
            <w:vAlign w:val="center"/>
          </w:tcPr>
          <w:p w14:paraId="48461EA0" w14:textId="77777777" w:rsidR="002778EB" w:rsidRPr="00EB2D17" w:rsidRDefault="2A9278A2" w:rsidP="00504A09">
            <w:pPr>
              <w:pStyle w:val="TableText"/>
              <w:jc w:val="center"/>
            </w:pPr>
            <w:r>
              <w:t>x</w:t>
            </w:r>
          </w:p>
        </w:tc>
        <w:tc>
          <w:tcPr>
            <w:tcW w:w="992" w:type="dxa"/>
            <w:vAlign w:val="center"/>
          </w:tcPr>
          <w:p w14:paraId="4511C7E7" w14:textId="77777777" w:rsidR="002778EB" w:rsidRPr="00EB2D17" w:rsidRDefault="002778EB" w:rsidP="00504A09">
            <w:pPr>
              <w:pStyle w:val="TableText"/>
              <w:jc w:val="center"/>
            </w:pPr>
          </w:p>
        </w:tc>
        <w:tc>
          <w:tcPr>
            <w:tcW w:w="1754" w:type="dxa"/>
            <w:vAlign w:val="center"/>
          </w:tcPr>
          <w:p w14:paraId="562EB259" w14:textId="77777777" w:rsidR="002778EB" w:rsidRPr="00EB2D17" w:rsidRDefault="2A9278A2" w:rsidP="00504A09">
            <w:pPr>
              <w:pStyle w:val="TableText"/>
              <w:jc w:val="center"/>
            </w:pPr>
            <w:r>
              <w:t>x</w:t>
            </w:r>
          </w:p>
        </w:tc>
      </w:tr>
      <w:tr w:rsidR="002778EB" w:rsidRPr="00EB2D17" w14:paraId="1677172A" w14:textId="77777777" w:rsidTr="2A9278A2">
        <w:tc>
          <w:tcPr>
            <w:tcW w:w="1281" w:type="dxa"/>
            <w:shd w:val="clear" w:color="auto" w:fill="E0E0E0"/>
            <w:noWrap/>
            <w:vAlign w:val="center"/>
          </w:tcPr>
          <w:p w14:paraId="48D61B24" w14:textId="77777777" w:rsidR="002778EB" w:rsidRPr="00EB2D17" w:rsidRDefault="2A9278A2" w:rsidP="00504A09">
            <w:pPr>
              <w:pStyle w:val="TableText"/>
            </w:pPr>
            <w:r>
              <w:t>1A3biv</w:t>
            </w:r>
          </w:p>
        </w:tc>
        <w:tc>
          <w:tcPr>
            <w:tcW w:w="3260" w:type="dxa"/>
            <w:shd w:val="clear" w:color="auto" w:fill="E0E0E0"/>
            <w:vAlign w:val="center"/>
          </w:tcPr>
          <w:p w14:paraId="58DBFCFB" w14:textId="77777777" w:rsidR="002778EB" w:rsidRPr="00EB2D17" w:rsidRDefault="2A9278A2" w:rsidP="00504A09">
            <w:pPr>
              <w:pStyle w:val="TableText"/>
            </w:pPr>
            <w:r>
              <w:t>Road transport: Mopeds &amp; motorcycles</w:t>
            </w:r>
          </w:p>
        </w:tc>
        <w:tc>
          <w:tcPr>
            <w:tcW w:w="993" w:type="dxa"/>
            <w:vAlign w:val="center"/>
          </w:tcPr>
          <w:p w14:paraId="0A851F46" w14:textId="77777777" w:rsidR="002778EB" w:rsidRPr="00EB2D17" w:rsidRDefault="2A9278A2" w:rsidP="00504A09">
            <w:pPr>
              <w:pStyle w:val="TableText"/>
              <w:jc w:val="center"/>
            </w:pPr>
            <w:r>
              <w:t>x</w:t>
            </w:r>
          </w:p>
        </w:tc>
        <w:tc>
          <w:tcPr>
            <w:tcW w:w="992" w:type="dxa"/>
            <w:vAlign w:val="center"/>
          </w:tcPr>
          <w:p w14:paraId="300D7E19" w14:textId="77777777" w:rsidR="002778EB" w:rsidRPr="00EB2D17" w:rsidRDefault="002778EB" w:rsidP="00504A09">
            <w:pPr>
              <w:pStyle w:val="TableText"/>
              <w:jc w:val="center"/>
            </w:pPr>
          </w:p>
        </w:tc>
        <w:tc>
          <w:tcPr>
            <w:tcW w:w="1754" w:type="dxa"/>
            <w:vAlign w:val="center"/>
          </w:tcPr>
          <w:p w14:paraId="10AB4B5E" w14:textId="77777777" w:rsidR="002778EB" w:rsidRPr="00EB2D17" w:rsidRDefault="2A9278A2" w:rsidP="00504A09">
            <w:pPr>
              <w:pStyle w:val="TableText"/>
              <w:jc w:val="center"/>
            </w:pPr>
            <w:r>
              <w:t>x</w:t>
            </w:r>
          </w:p>
        </w:tc>
      </w:tr>
      <w:tr w:rsidR="002778EB" w:rsidRPr="00EB2D17" w14:paraId="46E137EE" w14:textId="77777777" w:rsidTr="2A9278A2">
        <w:tc>
          <w:tcPr>
            <w:tcW w:w="1281" w:type="dxa"/>
            <w:shd w:val="clear" w:color="auto" w:fill="E0E0E0"/>
            <w:noWrap/>
            <w:vAlign w:val="center"/>
          </w:tcPr>
          <w:p w14:paraId="71C05AB4" w14:textId="77777777" w:rsidR="002778EB" w:rsidRPr="00EB2D17" w:rsidRDefault="2A9278A2" w:rsidP="00504A09">
            <w:pPr>
              <w:pStyle w:val="TableText"/>
            </w:pPr>
            <w:r>
              <w:t>1A3bv</w:t>
            </w:r>
          </w:p>
        </w:tc>
        <w:tc>
          <w:tcPr>
            <w:tcW w:w="3260" w:type="dxa"/>
            <w:shd w:val="clear" w:color="auto" w:fill="E0E0E0"/>
            <w:vAlign w:val="center"/>
          </w:tcPr>
          <w:p w14:paraId="7B64B149" w14:textId="77777777" w:rsidR="002778EB" w:rsidRPr="00EB2D17" w:rsidRDefault="2A9278A2" w:rsidP="00504A09">
            <w:pPr>
              <w:pStyle w:val="TableText"/>
            </w:pPr>
            <w:r>
              <w:t>Road transport: Gasoline evaporation</w:t>
            </w:r>
          </w:p>
        </w:tc>
        <w:tc>
          <w:tcPr>
            <w:tcW w:w="993" w:type="dxa"/>
            <w:vAlign w:val="center"/>
          </w:tcPr>
          <w:p w14:paraId="60F22E23" w14:textId="77777777" w:rsidR="002778EB" w:rsidRPr="00EB2D17" w:rsidRDefault="2A9278A2" w:rsidP="00504A09">
            <w:pPr>
              <w:pStyle w:val="TableText"/>
              <w:jc w:val="center"/>
            </w:pPr>
            <w:r>
              <w:t>x</w:t>
            </w:r>
          </w:p>
        </w:tc>
        <w:tc>
          <w:tcPr>
            <w:tcW w:w="992" w:type="dxa"/>
            <w:vAlign w:val="center"/>
          </w:tcPr>
          <w:p w14:paraId="45E0CEDB" w14:textId="77777777" w:rsidR="002778EB" w:rsidRPr="00EB2D17" w:rsidRDefault="002778EB" w:rsidP="00504A09">
            <w:pPr>
              <w:pStyle w:val="TableText"/>
              <w:jc w:val="center"/>
            </w:pPr>
          </w:p>
        </w:tc>
        <w:tc>
          <w:tcPr>
            <w:tcW w:w="1754" w:type="dxa"/>
            <w:vAlign w:val="center"/>
          </w:tcPr>
          <w:p w14:paraId="5C6C6EBD" w14:textId="77777777" w:rsidR="002778EB" w:rsidRPr="00EB2D17" w:rsidRDefault="2A9278A2" w:rsidP="00504A09">
            <w:pPr>
              <w:pStyle w:val="TableText"/>
              <w:jc w:val="center"/>
            </w:pPr>
            <w:r>
              <w:t>x</w:t>
            </w:r>
          </w:p>
        </w:tc>
      </w:tr>
      <w:tr w:rsidR="002778EB" w:rsidRPr="00EB2D17" w14:paraId="718612EB" w14:textId="77777777" w:rsidTr="2A9278A2">
        <w:tc>
          <w:tcPr>
            <w:tcW w:w="1281" w:type="dxa"/>
            <w:shd w:val="clear" w:color="auto" w:fill="E0E0E0"/>
            <w:noWrap/>
            <w:vAlign w:val="center"/>
          </w:tcPr>
          <w:p w14:paraId="492B752F" w14:textId="77777777" w:rsidR="002778EB" w:rsidRPr="00EB2D17" w:rsidRDefault="2A9278A2" w:rsidP="00504A09">
            <w:pPr>
              <w:pStyle w:val="TableText"/>
            </w:pPr>
            <w:r>
              <w:t>1A3bvi</w:t>
            </w:r>
          </w:p>
        </w:tc>
        <w:tc>
          <w:tcPr>
            <w:tcW w:w="3260" w:type="dxa"/>
            <w:shd w:val="clear" w:color="auto" w:fill="E0E0E0"/>
            <w:vAlign w:val="center"/>
          </w:tcPr>
          <w:p w14:paraId="233B701B" w14:textId="77777777" w:rsidR="002778EB" w:rsidRPr="00EB2D17" w:rsidRDefault="2A9278A2" w:rsidP="00504A09">
            <w:pPr>
              <w:pStyle w:val="TableText"/>
            </w:pPr>
            <w:r>
              <w:t>Road transport: Automobile tyre and brake wear</w:t>
            </w:r>
          </w:p>
        </w:tc>
        <w:tc>
          <w:tcPr>
            <w:tcW w:w="993" w:type="dxa"/>
            <w:vAlign w:val="center"/>
          </w:tcPr>
          <w:p w14:paraId="3A488218" w14:textId="77777777" w:rsidR="002778EB" w:rsidRPr="00EB2D17" w:rsidRDefault="2A9278A2" w:rsidP="00504A09">
            <w:pPr>
              <w:pStyle w:val="TableText"/>
              <w:jc w:val="center"/>
            </w:pPr>
            <w:r>
              <w:t>x</w:t>
            </w:r>
          </w:p>
        </w:tc>
        <w:tc>
          <w:tcPr>
            <w:tcW w:w="992" w:type="dxa"/>
            <w:vAlign w:val="center"/>
          </w:tcPr>
          <w:p w14:paraId="0AB394BC" w14:textId="77777777" w:rsidR="002778EB" w:rsidRPr="00EB2D17" w:rsidRDefault="002778EB" w:rsidP="00504A09">
            <w:pPr>
              <w:pStyle w:val="TableText"/>
              <w:jc w:val="center"/>
            </w:pPr>
          </w:p>
        </w:tc>
        <w:tc>
          <w:tcPr>
            <w:tcW w:w="1754" w:type="dxa"/>
            <w:vAlign w:val="center"/>
          </w:tcPr>
          <w:p w14:paraId="265DA4C0" w14:textId="77777777" w:rsidR="002778EB" w:rsidRPr="00EB2D17" w:rsidRDefault="2A9278A2" w:rsidP="00504A09">
            <w:pPr>
              <w:pStyle w:val="TableText"/>
              <w:jc w:val="center"/>
            </w:pPr>
            <w:r>
              <w:t>x</w:t>
            </w:r>
          </w:p>
        </w:tc>
      </w:tr>
      <w:tr w:rsidR="002778EB" w:rsidRPr="00EB2D17" w14:paraId="5B362D63" w14:textId="77777777" w:rsidTr="2A9278A2">
        <w:tc>
          <w:tcPr>
            <w:tcW w:w="1281" w:type="dxa"/>
            <w:shd w:val="clear" w:color="auto" w:fill="E0E0E0"/>
            <w:noWrap/>
            <w:vAlign w:val="center"/>
          </w:tcPr>
          <w:p w14:paraId="3F90B1EA" w14:textId="77777777" w:rsidR="002778EB" w:rsidRPr="00EB2D17" w:rsidRDefault="2A9278A2" w:rsidP="00504A09">
            <w:pPr>
              <w:pStyle w:val="TableText"/>
            </w:pPr>
            <w:r>
              <w:t>1A3bvii</w:t>
            </w:r>
          </w:p>
        </w:tc>
        <w:tc>
          <w:tcPr>
            <w:tcW w:w="3260" w:type="dxa"/>
            <w:shd w:val="clear" w:color="auto" w:fill="E0E0E0"/>
            <w:vAlign w:val="center"/>
          </w:tcPr>
          <w:p w14:paraId="2D063141" w14:textId="77777777" w:rsidR="002778EB" w:rsidRPr="00EB2D17" w:rsidRDefault="2A9278A2" w:rsidP="00504A09">
            <w:pPr>
              <w:pStyle w:val="TableText"/>
            </w:pPr>
            <w:r>
              <w:t>Road transport: Automobile road abrasion</w:t>
            </w:r>
          </w:p>
        </w:tc>
        <w:tc>
          <w:tcPr>
            <w:tcW w:w="993" w:type="dxa"/>
            <w:vAlign w:val="center"/>
          </w:tcPr>
          <w:p w14:paraId="619C5CE2" w14:textId="77777777" w:rsidR="002778EB" w:rsidRPr="00EB2D17" w:rsidRDefault="2A9278A2" w:rsidP="00504A09">
            <w:pPr>
              <w:pStyle w:val="TableText"/>
              <w:jc w:val="center"/>
            </w:pPr>
            <w:r>
              <w:t>x</w:t>
            </w:r>
          </w:p>
        </w:tc>
        <w:tc>
          <w:tcPr>
            <w:tcW w:w="992" w:type="dxa"/>
            <w:vAlign w:val="center"/>
          </w:tcPr>
          <w:p w14:paraId="46A434E0" w14:textId="77777777" w:rsidR="002778EB" w:rsidRPr="00EB2D17" w:rsidRDefault="002778EB" w:rsidP="00504A09">
            <w:pPr>
              <w:pStyle w:val="TableText"/>
              <w:jc w:val="center"/>
            </w:pPr>
          </w:p>
        </w:tc>
        <w:tc>
          <w:tcPr>
            <w:tcW w:w="1754" w:type="dxa"/>
            <w:vAlign w:val="center"/>
          </w:tcPr>
          <w:p w14:paraId="248D48FF" w14:textId="77777777" w:rsidR="002778EB" w:rsidRPr="00EB2D17" w:rsidRDefault="2A9278A2" w:rsidP="00504A09">
            <w:pPr>
              <w:pStyle w:val="TableText"/>
              <w:jc w:val="center"/>
            </w:pPr>
            <w:r>
              <w:t>x</w:t>
            </w:r>
          </w:p>
        </w:tc>
      </w:tr>
      <w:tr w:rsidR="002778EB" w:rsidRPr="00EB2D17" w14:paraId="0964954E" w14:textId="77777777" w:rsidTr="2A9278A2">
        <w:tc>
          <w:tcPr>
            <w:tcW w:w="1281" w:type="dxa"/>
            <w:shd w:val="clear" w:color="auto" w:fill="E0E0E0"/>
            <w:noWrap/>
            <w:vAlign w:val="center"/>
          </w:tcPr>
          <w:p w14:paraId="48780522" w14:textId="77777777" w:rsidR="002778EB" w:rsidRPr="00EB2D17" w:rsidRDefault="2A9278A2" w:rsidP="00504A09">
            <w:pPr>
              <w:pStyle w:val="TableText"/>
            </w:pPr>
            <w:r>
              <w:t>1A3c</w:t>
            </w:r>
          </w:p>
        </w:tc>
        <w:tc>
          <w:tcPr>
            <w:tcW w:w="3260" w:type="dxa"/>
            <w:shd w:val="clear" w:color="auto" w:fill="E0E0E0"/>
            <w:vAlign w:val="center"/>
          </w:tcPr>
          <w:p w14:paraId="3F69BED8" w14:textId="77777777" w:rsidR="002778EB" w:rsidRPr="00EB2D17" w:rsidRDefault="2A9278A2" w:rsidP="00504A09">
            <w:pPr>
              <w:pStyle w:val="TableText"/>
            </w:pPr>
            <w:r>
              <w:t>Railways</w:t>
            </w:r>
          </w:p>
        </w:tc>
        <w:tc>
          <w:tcPr>
            <w:tcW w:w="993" w:type="dxa"/>
            <w:vAlign w:val="center"/>
          </w:tcPr>
          <w:p w14:paraId="56CB47F9" w14:textId="77777777" w:rsidR="002778EB" w:rsidRPr="00EB2D17" w:rsidRDefault="2A9278A2" w:rsidP="00504A09">
            <w:pPr>
              <w:pStyle w:val="TableText"/>
              <w:jc w:val="center"/>
            </w:pPr>
            <w:r>
              <w:t>x</w:t>
            </w:r>
          </w:p>
        </w:tc>
        <w:tc>
          <w:tcPr>
            <w:tcW w:w="992" w:type="dxa"/>
            <w:vAlign w:val="center"/>
          </w:tcPr>
          <w:p w14:paraId="4F94FDB0" w14:textId="77777777" w:rsidR="002778EB" w:rsidRPr="00EB2D17" w:rsidRDefault="002778EB" w:rsidP="00504A09">
            <w:pPr>
              <w:pStyle w:val="TableText"/>
              <w:jc w:val="center"/>
            </w:pPr>
          </w:p>
        </w:tc>
        <w:tc>
          <w:tcPr>
            <w:tcW w:w="1754" w:type="dxa"/>
            <w:vAlign w:val="center"/>
          </w:tcPr>
          <w:p w14:paraId="21D527CD" w14:textId="77777777" w:rsidR="002778EB" w:rsidRPr="00EB2D17" w:rsidRDefault="2A9278A2" w:rsidP="00504A09">
            <w:pPr>
              <w:pStyle w:val="TableText"/>
              <w:jc w:val="center"/>
            </w:pPr>
            <w:r>
              <w:t>x</w:t>
            </w:r>
          </w:p>
        </w:tc>
      </w:tr>
      <w:tr w:rsidR="002778EB" w:rsidRPr="002D18CD" w14:paraId="510E02C8" w14:textId="77777777" w:rsidTr="2A9278A2">
        <w:tc>
          <w:tcPr>
            <w:tcW w:w="1281" w:type="dxa"/>
            <w:shd w:val="clear" w:color="auto" w:fill="E0E0E0"/>
            <w:noWrap/>
            <w:vAlign w:val="center"/>
          </w:tcPr>
          <w:p w14:paraId="72C07CCB" w14:textId="77777777" w:rsidR="002778EB" w:rsidRPr="002D18CD" w:rsidRDefault="2A9278A2" w:rsidP="00504A09">
            <w:pPr>
              <w:pStyle w:val="TableText"/>
            </w:pPr>
            <w:r>
              <w:t>1A3di(ii)</w:t>
            </w:r>
          </w:p>
        </w:tc>
        <w:tc>
          <w:tcPr>
            <w:tcW w:w="3260" w:type="dxa"/>
            <w:shd w:val="clear" w:color="auto" w:fill="E0E0E0"/>
            <w:vAlign w:val="center"/>
          </w:tcPr>
          <w:p w14:paraId="5D805F12" w14:textId="77777777" w:rsidR="002778EB" w:rsidRPr="002D18CD" w:rsidRDefault="2A9278A2" w:rsidP="00504A09">
            <w:pPr>
              <w:pStyle w:val="TableText"/>
            </w:pPr>
            <w:r>
              <w:t>International inland waterways</w:t>
            </w:r>
          </w:p>
        </w:tc>
        <w:tc>
          <w:tcPr>
            <w:tcW w:w="993" w:type="dxa"/>
            <w:vAlign w:val="center"/>
          </w:tcPr>
          <w:p w14:paraId="20CC21F6" w14:textId="77777777" w:rsidR="002778EB" w:rsidRPr="002D18CD" w:rsidRDefault="2A9278A2" w:rsidP="2A9278A2">
            <w:pPr>
              <w:pStyle w:val="TableText"/>
              <w:jc w:val="center"/>
              <w:rPr>
                <w:lang w:val="el-GR"/>
              </w:rPr>
            </w:pPr>
            <w:r>
              <w:t>x</w:t>
            </w:r>
          </w:p>
        </w:tc>
        <w:tc>
          <w:tcPr>
            <w:tcW w:w="992" w:type="dxa"/>
            <w:vAlign w:val="center"/>
          </w:tcPr>
          <w:p w14:paraId="523FADD6" w14:textId="77777777" w:rsidR="002778EB" w:rsidRPr="002D18CD" w:rsidRDefault="002778EB" w:rsidP="00504A09">
            <w:pPr>
              <w:pStyle w:val="TableText"/>
              <w:jc w:val="center"/>
            </w:pPr>
          </w:p>
        </w:tc>
        <w:tc>
          <w:tcPr>
            <w:tcW w:w="1754" w:type="dxa"/>
            <w:vAlign w:val="center"/>
          </w:tcPr>
          <w:p w14:paraId="6FFCD1EA" w14:textId="77777777" w:rsidR="002778EB" w:rsidRPr="002D18CD" w:rsidRDefault="2A9278A2" w:rsidP="00504A09">
            <w:pPr>
              <w:pStyle w:val="TableText"/>
              <w:jc w:val="center"/>
            </w:pPr>
            <w:r>
              <w:t>x</w:t>
            </w:r>
          </w:p>
        </w:tc>
      </w:tr>
      <w:tr w:rsidR="002778EB" w:rsidRPr="00EB2D17" w14:paraId="62BC8504" w14:textId="77777777" w:rsidTr="2A9278A2">
        <w:tc>
          <w:tcPr>
            <w:tcW w:w="1281" w:type="dxa"/>
            <w:shd w:val="clear" w:color="auto" w:fill="E0E0E0"/>
            <w:noWrap/>
            <w:vAlign w:val="center"/>
          </w:tcPr>
          <w:p w14:paraId="218D8767" w14:textId="77777777" w:rsidR="002778EB" w:rsidRPr="002D18CD" w:rsidRDefault="2A9278A2" w:rsidP="00504A09">
            <w:pPr>
              <w:pStyle w:val="TableText"/>
            </w:pPr>
            <w:r>
              <w:t>1A3dii</w:t>
            </w:r>
          </w:p>
        </w:tc>
        <w:tc>
          <w:tcPr>
            <w:tcW w:w="3260" w:type="dxa"/>
            <w:shd w:val="clear" w:color="auto" w:fill="E0E0E0"/>
            <w:vAlign w:val="center"/>
          </w:tcPr>
          <w:p w14:paraId="4D903E9A" w14:textId="77777777" w:rsidR="002778EB" w:rsidRPr="002D18CD" w:rsidRDefault="2A9278A2" w:rsidP="00504A09">
            <w:pPr>
              <w:pStyle w:val="TableText"/>
            </w:pPr>
            <w:r>
              <w:t>National navigation (shipping)</w:t>
            </w:r>
          </w:p>
        </w:tc>
        <w:tc>
          <w:tcPr>
            <w:tcW w:w="993" w:type="dxa"/>
            <w:vAlign w:val="center"/>
          </w:tcPr>
          <w:p w14:paraId="31BE7F06" w14:textId="77777777" w:rsidR="002778EB" w:rsidRPr="002D18CD" w:rsidRDefault="2A9278A2" w:rsidP="00504A09">
            <w:pPr>
              <w:pStyle w:val="TableText"/>
              <w:jc w:val="center"/>
            </w:pPr>
            <w:r>
              <w:t>x</w:t>
            </w:r>
          </w:p>
        </w:tc>
        <w:tc>
          <w:tcPr>
            <w:tcW w:w="992" w:type="dxa"/>
            <w:vAlign w:val="center"/>
          </w:tcPr>
          <w:p w14:paraId="741BE44A" w14:textId="77777777" w:rsidR="002778EB" w:rsidRPr="002D18CD" w:rsidRDefault="002778EB" w:rsidP="00504A09">
            <w:pPr>
              <w:pStyle w:val="TableText"/>
              <w:jc w:val="center"/>
            </w:pPr>
          </w:p>
        </w:tc>
        <w:tc>
          <w:tcPr>
            <w:tcW w:w="1754" w:type="dxa"/>
            <w:vAlign w:val="center"/>
          </w:tcPr>
          <w:p w14:paraId="6D11E64A" w14:textId="77777777" w:rsidR="002778EB" w:rsidRPr="002D18CD" w:rsidRDefault="2A9278A2" w:rsidP="2A9278A2">
            <w:pPr>
              <w:pStyle w:val="TableText"/>
              <w:jc w:val="center"/>
              <w:rPr>
                <w:lang w:val="el-GR"/>
              </w:rPr>
            </w:pPr>
            <w:r>
              <w:t>x</w:t>
            </w:r>
          </w:p>
        </w:tc>
      </w:tr>
      <w:tr w:rsidR="002778EB" w:rsidRPr="00EB2D17" w14:paraId="6B1CA899" w14:textId="77777777" w:rsidTr="2A9278A2">
        <w:tc>
          <w:tcPr>
            <w:tcW w:w="1281" w:type="dxa"/>
            <w:shd w:val="clear" w:color="auto" w:fill="E0E0E0"/>
            <w:noWrap/>
            <w:vAlign w:val="center"/>
          </w:tcPr>
          <w:p w14:paraId="7547C616" w14:textId="77777777" w:rsidR="002778EB" w:rsidRPr="006A460A" w:rsidRDefault="2A9278A2" w:rsidP="00504A09">
            <w:pPr>
              <w:pStyle w:val="TableText"/>
            </w:pPr>
            <w:r>
              <w:t>1A4aii</w:t>
            </w:r>
          </w:p>
        </w:tc>
        <w:tc>
          <w:tcPr>
            <w:tcW w:w="3260" w:type="dxa"/>
            <w:shd w:val="clear" w:color="auto" w:fill="E0E0E0"/>
            <w:vAlign w:val="center"/>
          </w:tcPr>
          <w:p w14:paraId="5D873FD0" w14:textId="77777777" w:rsidR="002778EB" w:rsidRPr="006A460A" w:rsidRDefault="2A9278A2" w:rsidP="00504A09">
            <w:pPr>
              <w:pStyle w:val="TableText"/>
            </w:pPr>
            <w:r>
              <w:t>Commercial/institutional: Mobile</w:t>
            </w:r>
          </w:p>
        </w:tc>
        <w:tc>
          <w:tcPr>
            <w:tcW w:w="993" w:type="dxa"/>
            <w:vAlign w:val="center"/>
          </w:tcPr>
          <w:p w14:paraId="28A7F84A" w14:textId="77777777" w:rsidR="002778EB" w:rsidRPr="006A460A" w:rsidRDefault="2A9278A2" w:rsidP="00504A09">
            <w:pPr>
              <w:pStyle w:val="TableText"/>
              <w:jc w:val="center"/>
            </w:pPr>
            <w:r>
              <w:t>IE</w:t>
            </w:r>
          </w:p>
        </w:tc>
        <w:tc>
          <w:tcPr>
            <w:tcW w:w="992" w:type="dxa"/>
            <w:vAlign w:val="center"/>
          </w:tcPr>
          <w:p w14:paraId="4EECEDAC" w14:textId="77777777" w:rsidR="002778EB" w:rsidRPr="006A460A" w:rsidRDefault="002778EB" w:rsidP="00504A09">
            <w:pPr>
              <w:pStyle w:val="TableText"/>
              <w:jc w:val="center"/>
            </w:pPr>
          </w:p>
        </w:tc>
        <w:tc>
          <w:tcPr>
            <w:tcW w:w="1754" w:type="dxa"/>
            <w:vAlign w:val="center"/>
          </w:tcPr>
          <w:p w14:paraId="7266C190" w14:textId="77777777" w:rsidR="002778EB" w:rsidRPr="006A460A" w:rsidRDefault="2A9278A2" w:rsidP="00504A09">
            <w:pPr>
              <w:pStyle w:val="TableText"/>
              <w:jc w:val="center"/>
            </w:pPr>
            <w:r>
              <w:t>x</w:t>
            </w:r>
          </w:p>
        </w:tc>
      </w:tr>
      <w:tr w:rsidR="002778EB" w:rsidRPr="00EB2D17" w14:paraId="2B6B2320" w14:textId="77777777" w:rsidTr="2A9278A2">
        <w:tc>
          <w:tcPr>
            <w:tcW w:w="1281" w:type="dxa"/>
            <w:shd w:val="clear" w:color="auto" w:fill="E0E0E0"/>
            <w:noWrap/>
            <w:vAlign w:val="center"/>
          </w:tcPr>
          <w:p w14:paraId="457CD604" w14:textId="77777777" w:rsidR="002778EB" w:rsidRPr="00EB2D17" w:rsidRDefault="2A9278A2" w:rsidP="00504A09">
            <w:pPr>
              <w:pStyle w:val="TableText"/>
            </w:pPr>
            <w:r>
              <w:t>1A4bii</w:t>
            </w:r>
          </w:p>
        </w:tc>
        <w:tc>
          <w:tcPr>
            <w:tcW w:w="3260" w:type="dxa"/>
            <w:shd w:val="clear" w:color="auto" w:fill="E0E0E0"/>
            <w:vAlign w:val="center"/>
          </w:tcPr>
          <w:p w14:paraId="612B2899" w14:textId="77777777" w:rsidR="002778EB" w:rsidRPr="00EB2D17" w:rsidRDefault="2A9278A2" w:rsidP="00504A09">
            <w:pPr>
              <w:pStyle w:val="TableText"/>
            </w:pPr>
            <w:r>
              <w:t>Residential: Household and gardening (mobile)</w:t>
            </w:r>
          </w:p>
        </w:tc>
        <w:tc>
          <w:tcPr>
            <w:tcW w:w="993" w:type="dxa"/>
            <w:vAlign w:val="center"/>
          </w:tcPr>
          <w:p w14:paraId="4FC16AEB" w14:textId="77777777" w:rsidR="002778EB" w:rsidRPr="00EB2D17" w:rsidRDefault="2A9278A2" w:rsidP="00504A09">
            <w:pPr>
              <w:pStyle w:val="TableText"/>
              <w:jc w:val="center"/>
            </w:pPr>
            <w:r>
              <w:t>IE</w:t>
            </w:r>
          </w:p>
        </w:tc>
        <w:tc>
          <w:tcPr>
            <w:tcW w:w="992" w:type="dxa"/>
            <w:vAlign w:val="center"/>
          </w:tcPr>
          <w:p w14:paraId="4A2FA471" w14:textId="77777777" w:rsidR="002778EB" w:rsidRPr="00EB2D17" w:rsidRDefault="002778EB" w:rsidP="00504A09">
            <w:pPr>
              <w:pStyle w:val="TableText"/>
              <w:jc w:val="center"/>
            </w:pPr>
          </w:p>
        </w:tc>
        <w:tc>
          <w:tcPr>
            <w:tcW w:w="1754" w:type="dxa"/>
            <w:vAlign w:val="center"/>
          </w:tcPr>
          <w:p w14:paraId="20C4728C" w14:textId="77777777" w:rsidR="002778EB" w:rsidRPr="00EB2D17" w:rsidRDefault="2A9278A2" w:rsidP="2A9278A2">
            <w:pPr>
              <w:pStyle w:val="TableText"/>
              <w:jc w:val="center"/>
              <w:rPr>
                <w:highlight w:val="yellow"/>
              </w:rPr>
            </w:pPr>
            <w:r>
              <w:t>x</w:t>
            </w:r>
          </w:p>
        </w:tc>
      </w:tr>
      <w:tr w:rsidR="002778EB" w:rsidRPr="00600AA9" w14:paraId="55685EE3" w14:textId="77777777" w:rsidTr="2A9278A2">
        <w:tc>
          <w:tcPr>
            <w:tcW w:w="1281" w:type="dxa"/>
            <w:shd w:val="clear" w:color="auto" w:fill="E0E0E0"/>
            <w:noWrap/>
            <w:vAlign w:val="center"/>
          </w:tcPr>
          <w:p w14:paraId="482F5A4A" w14:textId="77777777" w:rsidR="002778EB" w:rsidRPr="002B176A" w:rsidRDefault="2A9278A2" w:rsidP="00504A09">
            <w:pPr>
              <w:pStyle w:val="TableText"/>
            </w:pPr>
            <w:r>
              <w:t>1A4cii</w:t>
            </w:r>
          </w:p>
        </w:tc>
        <w:tc>
          <w:tcPr>
            <w:tcW w:w="3260" w:type="dxa"/>
            <w:shd w:val="clear" w:color="auto" w:fill="E0E0E0"/>
            <w:vAlign w:val="center"/>
          </w:tcPr>
          <w:p w14:paraId="5BA7B6A7" w14:textId="77777777" w:rsidR="002778EB" w:rsidRPr="002B176A" w:rsidRDefault="2A9278A2" w:rsidP="00504A09">
            <w:pPr>
              <w:pStyle w:val="TableText"/>
            </w:pPr>
            <w:r>
              <w:t>Agriculture/Forestry/Fishing: Off-road vehicles and other machinery</w:t>
            </w:r>
          </w:p>
        </w:tc>
        <w:tc>
          <w:tcPr>
            <w:tcW w:w="993" w:type="dxa"/>
            <w:vAlign w:val="center"/>
          </w:tcPr>
          <w:p w14:paraId="4C17027A" w14:textId="77777777" w:rsidR="002778EB" w:rsidRPr="002B176A" w:rsidRDefault="2A9278A2" w:rsidP="00504A09">
            <w:pPr>
              <w:pStyle w:val="TableText"/>
              <w:jc w:val="center"/>
            </w:pPr>
            <w:r>
              <w:t>x</w:t>
            </w:r>
          </w:p>
        </w:tc>
        <w:tc>
          <w:tcPr>
            <w:tcW w:w="992" w:type="dxa"/>
            <w:vAlign w:val="center"/>
          </w:tcPr>
          <w:p w14:paraId="29C6EC0C" w14:textId="77777777" w:rsidR="002778EB" w:rsidRPr="002B176A" w:rsidRDefault="002778EB" w:rsidP="00504A09">
            <w:pPr>
              <w:pStyle w:val="TableText"/>
              <w:jc w:val="center"/>
            </w:pPr>
          </w:p>
        </w:tc>
        <w:tc>
          <w:tcPr>
            <w:tcW w:w="1754" w:type="dxa"/>
            <w:vAlign w:val="center"/>
          </w:tcPr>
          <w:p w14:paraId="4F5A4726" w14:textId="77777777" w:rsidR="002778EB" w:rsidRPr="002B176A" w:rsidRDefault="2A9278A2" w:rsidP="00504A09">
            <w:pPr>
              <w:pStyle w:val="TableText"/>
              <w:jc w:val="center"/>
            </w:pPr>
            <w:r>
              <w:t>x</w:t>
            </w:r>
          </w:p>
        </w:tc>
      </w:tr>
      <w:tr w:rsidR="002778EB" w:rsidRPr="00EB2D17" w14:paraId="2C0D1F5A" w14:textId="77777777" w:rsidTr="2A9278A2">
        <w:tc>
          <w:tcPr>
            <w:tcW w:w="1281" w:type="dxa"/>
            <w:shd w:val="clear" w:color="auto" w:fill="E0E0E0"/>
            <w:noWrap/>
            <w:vAlign w:val="center"/>
          </w:tcPr>
          <w:p w14:paraId="200CFB64" w14:textId="77777777" w:rsidR="002778EB" w:rsidRPr="00EB2D17" w:rsidRDefault="2A9278A2" w:rsidP="00504A09">
            <w:pPr>
              <w:pStyle w:val="TableText"/>
            </w:pPr>
            <w:r>
              <w:t>1A4ciii</w:t>
            </w:r>
          </w:p>
        </w:tc>
        <w:tc>
          <w:tcPr>
            <w:tcW w:w="3260" w:type="dxa"/>
            <w:shd w:val="clear" w:color="auto" w:fill="E0E0E0"/>
            <w:vAlign w:val="center"/>
          </w:tcPr>
          <w:p w14:paraId="2D14E566" w14:textId="77777777" w:rsidR="002778EB" w:rsidRPr="00EB2D17" w:rsidRDefault="2A9278A2" w:rsidP="00504A09">
            <w:pPr>
              <w:pStyle w:val="TableText"/>
            </w:pPr>
            <w:r>
              <w:t>Agriculture/Forestry/Fishing: National fishing</w:t>
            </w:r>
          </w:p>
        </w:tc>
        <w:tc>
          <w:tcPr>
            <w:tcW w:w="993" w:type="dxa"/>
            <w:vAlign w:val="center"/>
          </w:tcPr>
          <w:p w14:paraId="15B14B21" w14:textId="77777777" w:rsidR="002778EB" w:rsidRPr="00EB2D17" w:rsidRDefault="2A9278A2" w:rsidP="00504A09">
            <w:pPr>
              <w:pStyle w:val="TableText"/>
              <w:jc w:val="center"/>
            </w:pPr>
            <w:r>
              <w:t>IE</w:t>
            </w:r>
          </w:p>
        </w:tc>
        <w:tc>
          <w:tcPr>
            <w:tcW w:w="992" w:type="dxa"/>
            <w:vAlign w:val="center"/>
          </w:tcPr>
          <w:p w14:paraId="4D9BF8FE" w14:textId="77777777" w:rsidR="002778EB" w:rsidRPr="00EB2D17" w:rsidRDefault="002778EB" w:rsidP="00504A09">
            <w:pPr>
              <w:pStyle w:val="TableText"/>
              <w:jc w:val="center"/>
            </w:pPr>
          </w:p>
        </w:tc>
        <w:tc>
          <w:tcPr>
            <w:tcW w:w="1754" w:type="dxa"/>
            <w:vAlign w:val="center"/>
          </w:tcPr>
          <w:p w14:paraId="73AC1777" w14:textId="77777777" w:rsidR="002778EB" w:rsidRPr="00EB2D17" w:rsidRDefault="2A9278A2" w:rsidP="00504A09">
            <w:pPr>
              <w:pStyle w:val="TableText"/>
              <w:jc w:val="center"/>
            </w:pPr>
            <w:r>
              <w:t>x</w:t>
            </w:r>
          </w:p>
        </w:tc>
      </w:tr>
      <w:tr w:rsidR="002778EB" w:rsidRPr="00EB2D17" w14:paraId="780D12C6" w14:textId="77777777" w:rsidTr="2A9278A2">
        <w:tc>
          <w:tcPr>
            <w:tcW w:w="1281" w:type="dxa"/>
            <w:shd w:val="clear" w:color="auto" w:fill="E0E0E0"/>
            <w:noWrap/>
            <w:vAlign w:val="center"/>
          </w:tcPr>
          <w:p w14:paraId="0E788190" w14:textId="77777777" w:rsidR="002778EB" w:rsidRPr="00BF0FC2" w:rsidRDefault="2A9278A2" w:rsidP="00504A09">
            <w:pPr>
              <w:pStyle w:val="TableText"/>
            </w:pPr>
            <w:r>
              <w:t>1A5b</w:t>
            </w:r>
          </w:p>
        </w:tc>
        <w:tc>
          <w:tcPr>
            <w:tcW w:w="3260" w:type="dxa"/>
            <w:shd w:val="clear" w:color="auto" w:fill="E0E0E0"/>
            <w:vAlign w:val="center"/>
          </w:tcPr>
          <w:p w14:paraId="400F17D3" w14:textId="77777777" w:rsidR="002778EB" w:rsidRPr="00BF0FC2" w:rsidRDefault="2A9278A2" w:rsidP="00504A09">
            <w:pPr>
              <w:pStyle w:val="TableText"/>
            </w:pPr>
            <w:r>
              <w:t>Other, Mobile (including military, land based and recreational boats)</w:t>
            </w:r>
          </w:p>
        </w:tc>
        <w:tc>
          <w:tcPr>
            <w:tcW w:w="993" w:type="dxa"/>
            <w:vAlign w:val="center"/>
          </w:tcPr>
          <w:p w14:paraId="1E11E16E" w14:textId="77777777" w:rsidR="002778EB" w:rsidRPr="00BF0FC2" w:rsidRDefault="2A9278A2" w:rsidP="00504A09">
            <w:pPr>
              <w:pStyle w:val="TableText"/>
              <w:jc w:val="center"/>
            </w:pPr>
            <w:r>
              <w:t>NE</w:t>
            </w:r>
          </w:p>
        </w:tc>
        <w:tc>
          <w:tcPr>
            <w:tcW w:w="992" w:type="dxa"/>
            <w:vAlign w:val="center"/>
          </w:tcPr>
          <w:p w14:paraId="2F020264" w14:textId="77777777" w:rsidR="002778EB" w:rsidRPr="00BF0FC2" w:rsidRDefault="002778EB" w:rsidP="00504A09">
            <w:pPr>
              <w:pStyle w:val="TableText"/>
              <w:jc w:val="center"/>
            </w:pPr>
          </w:p>
        </w:tc>
        <w:tc>
          <w:tcPr>
            <w:tcW w:w="1754" w:type="dxa"/>
            <w:vAlign w:val="center"/>
          </w:tcPr>
          <w:p w14:paraId="7B229077" w14:textId="77777777" w:rsidR="002778EB" w:rsidRPr="00BF0FC2" w:rsidRDefault="2A9278A2" w:rsidP="00504A09">
            <w:pPr>
              <w:pStyle w:val="TableText"/>
              <w:jc w:val="center"/>
            </w:pPr>
            <w:r>
              <w:t>x</w:t>
            </w:r>
          </w:p>
        </w:tc>
      </w:tr>
      <w:tr w:rsidR="002778EB" w:rsidRPr="00EB2D17" w14:paraId="5A6F56CE" w14:textId="77777777" w:rsidTr="2A9278A2">
        <w:tc>
          <w:tcPr>
            <w:tcW w:w="1281" w:type="dxa"/>
            <w:shd w:val="clear" w:color="auto" w:fill="E0E0E0"/>
            <w:noWrap/>
            <w:vAlign w:val="center"/>
          </w:tcPr>
          <w:p w14:paraId="2896255A" w14:textId="77777777" w:rsidR="002778EB" w:rsidRPr="009C39E6" w:rsidRDefault="2A9278A2" w:rsidP="00504A09">
            <w:pPr>
              <w:pStyle w:val="TableText"/>
            </w:pPr>
            <w:r>
              <w:t>1A3di(i)</w:t>
            </w:r>
          </w:p>
        </w:tc>
        <w:tc>
          <w:tcPr>
            <w:tcW w:w="3260" w:type="dxa"/>
            <w:shd w:val="clear" w:color="auto" w:fill="E0E0E0"/>
            <w:vAlign w:val="center"/>
          </w:tcPr>
          <w:p w14:paraId="2323A512" w14:textId="77777777" w:rsidR="002778EB" w:rsidRPr="009C39E6" w:rsidRDefault="2A9278A2" w:rsidP="00504A09">
            <w:pPr>
              <w:pStyle w:val="TableText"/>
            </w:pPr>
            <w:r>
              <w:t>International maritime navigation</w:t>
            </w:r>
          </w:p>
        </w:tc>
        <w:tc>
          <w:tcPr>
            <w:tcW w:w="993" w:type="dxa"/>
            <w:vAlign w:val="center"/>
          </w:tcPr>
          <w:p w14:paraId="29805FEF" w14:textId="77777777" w:rsidR="002778EB" w:rsidRPr="009C39E6" w:rsidRDefault="2A9278A2" w:rsidP="00504A09">
            <w:pPr>
              <w:pStyle w:val="TableText"/>
              <w:jc w:val="center"/>
            </w:pPr>
            <w:r>
              <w:t>NE</w:t>
            </w:r>
          </w:p>
        </w:tc>
        <w:tc>
          <w:tcPr>
            <w:tcW w:w="992" w:type="dxa"/>
            <w:vAlign w:val="center"/>
          </w:tcPr>
          <w:p w14:paraId="3CED16BC" w14:textId="77777777" w:rsidR="002778EB" w:rsidRPr="009C39E6" w:rsidRDefault="002778EB" w:rsidP="00504A09">
            <w:pPr>
              <w:pStyle w:val="TableText"/>
              <w:jc w:val="center"/>
            </w:pPr>
          </w:p>
        </w:tc>
        <w:tc>
          <w:tcPr>
            <w:tcW w:w="1754" w:type="dxa"/>
            <w:vAlign w:val="center"/>
          </w:tcPr>
          <w:p w14:paraId="6E8E0C00" w14:textId="77777777" w:rsidR="002778EB" w:rsidRPr="009C39E6" w:rsidRDefault="2A9278A2" w:rsidP="00504A09">
            <w:pPr>
              <w:pStyle w:val="TableText"/>
              <w:jc w:val="center"/>
            </w:pPr>
            <w:r>
              <w:t>x</w:t>
            </w:r>
          </w:p>
        </w:tc>
      </w:tr>
      <w:tr w:rsidR="002778EB" w:rsidRPr="00EB2D17" w14:paraId="03CA2185" w14:textId="77777777" w:rsidTr="2A9278A2">
        <w:tc>
          <w:tcPr>
            <w:tcW w:w="1281" w:type="dxa"/>
            <w:shd w:val="clear" w:color="auto" w:fill="E0E0E0"/>
            <w:noWrap/>
            <w:vAlign w:val="center"/>
          </w:tcPr>
          <w:p w14:paraId="7C6211F2" w14:textId="77777777" w:rsidR="002778EB" w:rsidRPr="00600AA9" w:rsidRDefault="2A9278A2" w:rsidP="00504A09">
            <w:pPr>
              <w:pStyle w:val="TableText"/>
            </w:pPr>
            <w:r>
              <w:t>1A3</w:t>
            </w:r>
          </w:p>
        </w:tc>
        <w:tc>
          <w:tcPr>
            <w:tcW w:w="3260" w:type="dxa"/>
            <w:shd w:val="clear" w:color="auto" w:fill="E0E0E0"/>
            <w:vAlign w:val="center"/>
          </w:tcPr>
          <w:p w14:paraId="59576D72" w14:textId="77777777" w:rsidR="002778EB" w:rsidRPr="00600AA9" w:rsidRDefault="2A9278A2" w:rsidP="00504A09">
            <w:pPr>
              <w:pStyle w:val="TableText"/>
            </w:pPr>
            <w:r>
              <w:t>Transport (fuel used)</w:t>
            </w:r>
          </w:p>
        </w:tc>
        <w:tc>
          <w:tcPr>
            <w:tcW w:w="993" w:type="dxa"/>
            <w:vAlign w:val="center"/>
          </w:tcPr>
          <w:p w14:paraId="0A0E8410" w14:textId="77777777" w:rsidR="002778EB" w:rsidRPr="00600AA9" w:rsidRDefault="2A9278A2" w:rsidP="00504A09">
            <w:pPr>
              <w:pStyle w:val="TableText"/>
              <w:jc w:val="center"/>
            </w:pPr>
            <w:r>
              <w:t>x</w:t>
            </w:r>
          </w:p>
        </w:tc>
        <w:tc>
          <w:tcPr>
            <w:tcW w:w="992" w:type="dxa"/>
            <w:vAlign w:val="center"/>
          </w:tcPr>
          <w:p w14:paraId="69ECFE86" w14:textId="77777777" w:rsidR="002778EB" w:rsidRPr="00600AA9" w:rsidRDefault="002778EB" w:rsidP="00504A09">
            <w:pPr>
              <w:pStyle w:val="TableText"/>
              <w:jc w:val="center"/>
            </w:pPr>
          </w:p>
        </w:tc>
        <w:tc>
          <w:tcPr>
            <w:tcW w:w="1754" w:type="dxa"/>
            <w:vAlign w:val="center"/>
          </w:tcPr>
          <w:p w14:paraId="43ED5B08" w14:textId="77777777" w:rsidR="002778EB" w:rsidRPr="00600AA9" w:rsidRDefault="002778EB" w:rsidP="00504A09">
            <w:pPr>
              <w:pStyle w:val="TableText"/>
              <w:jc w:val="center"/>
            </w:pPr>
          </w:p>
        </w:tc>
      </w:tr>
      <w:tr w:rsidR="002778EB" w:rsidRPr="00EB2D17" w14:paraId="1FAF326C" w14:textId="77777777" w:rsidTr="2A9278A2">
        <w:trPr>
          <w:cantSplit/>
          <w:trHeight w:val="255"/>
        </w:trPr>
        <w:tc>
          <w:tcPr>
            <w:tcW w:w="8280" w:type="dxa"/>
            <w:gridSpan w:val="5"/>
            <w:shd w:val="clear" w:color="auto" w:fill="E0E0E0"/>
            <w:noWrap/>
            <w:vAlign w:val="center"/>
          </w:tcPr>
          <w:p w14:paraId="7C749619" w14:textId="77777777" w:rsidR="002778EB" w:rsidRPr="00EB2D17" w:rsidRDefault="2A9278A2" w:rsidP="00504A09">
            <w:pPr>
              <w:pStyle w:val="TableText"/>
            </w:pPr>
            <w:r>
              <w:t>Note: Where a sector has been partially reviewed (e.g. some of the NFR codes) please indicate which have and which have not in the respective columns.</w:t>
            </w:r>
          </w:p>
        </w:tc>
      </w:tr>
    </w:tbl>
    <w:bookmarkEnd w:id="36"/>
    <w:p w14:paraId="1F2E1E19" w14:textId="77777777" w:rsidR="002778EB" w:rsidRPr="00EB2D17" w:rsidRDefault="2A9278A2" w:rsidP="002778EB">
      <w:pPr>
        <w:pStyle w:val="berschrift4"/>
      </w:pPr>
      <w:r>
        <w:t>General recommendations on cross cutting issues</w:t>
      </w:r>
    </w:p>
    <w:p w14:paraId="474555C9" w14:textId="77777777" w:rsidR="002778EB" w:rsidRPr="005F2C39" w:rsidRDefault="2A9278A2" w:rsidP="00632720">
      <w:pPr>
        <w:pStyle w:val="berschrift5"/>
        <w:rPr>
          <w:color w:val="365F91"/>
        </w:rPr>
      </w:pPr>
      <w:r>
        <w:t>Transparency</w:t>
      </w:r>
    </w:p>
    <w:p w14:paraId="49F8DC68" w14:textId="77777777" w:rsidR="002778EB" w:rsidRDefault="2A9278A2" w:rsidP="007F5740">
      <w:pPr>
        <w:pStyle w:val="RegPara"/>
      </w:pPr>
      <w:r>
        <w:t>The ERT commends Montenegro for the provision of an IIR, which was not available in the previous Stage 3 review (2012). The ERT believes that the transparency of the inventory can be further improved, by providing more details in the IIR and better description of the methodologies used to estimate emissions for each transport sub-sector.</w:t>
      </w:r>
    </w:p>
    <w:p w14:paraId="6B2C5A32" w14:textId="28B7EA7F" w:rsidR="002778EB" w:rsidRDefault="2A9278A2" w:rsidP="007F5740">
      <w:pPr>
        <w:pStyle w:val="RegPara"/>
      </w:pPr>
      <w:r>
        <w:lastRenderedPageBreak/>
        <w:t>The ERT recommends that the Party should avoid providing a lot of theoretical background in its IIR, since this information is already available in other relevant documents</w:t>
      </w:r>
      <w:r w:rsidR="004B1F97">
        <w:t>. I</w:t>
      </w:r>
      <w:r>
        <w:t>nstead the Party should focus on details related to country specific activity data, i.e. vehicle fleet, equipment, sub-categories, technologies, explanations and justification of assumptions, etc.</w:t>
      </w:r>
    </w:p>
    <w:p w14:paraId="1F8D16E5" w14:textId="77777777" w:rsidR="002778EB" w:rsidRPr="008128F7" w:rsidRDefault="2A9278A2" w:rsidP="00632720">
      <w:pPr>
        <w:pStyle w:val="berschrift5"/>
      </w:pPr>
      <w:r>
        <w:t>Completeness</w:t>
      </w:r>
    </w:p>
    <w:p w14:paraId="02B403DF" w14:textId="6B7B9FC4" w:rsidR="002778EB" w:rsidRDefault="2A9278A2" w:rsidP="007F5740">
      <w:pPr>
        <w:pStyle w:val="RegPara"/>
      </w:pPr>
      <w:r>
        <w:t>The inventory of Montenegro includes emissions for the main transport sub-sectors and pollutants. However, the ERT believes that the completeness of the inventory can be improved, since there are missing emission estimates for some pollutants and sub-sectors. The methodology description in the IIR can also be improved by providing more details related to activity data</w:t>
      </w:r>
      <w:r w:rsidR="004B1F97">
        <w:t xml:space="preserve"> and </w:t>
      </w:r>
      <w:r>
        <w:t>assumptions that have been made, etc.</w:t>
      </w:r>
    </w:p>
    <w:p w14:paraId="4F0529B9" w14:textId="77777777" w:rsidR="002778EB" w:rsidRPr="00AB4D46" w:rsidRDefault="2A9278A2" w:rsidP="00632720">
      <w:pPr>
        <w:pStyle w:val="berschrift5"/>
      </w:pPr>
      <w:r>
        <w:t>Consistency including recalculation and time series</w:t>
      </w:r>
    </w:p>
    <w:p w14:paraId="141E8264" w14:textId="77777777" w:rsidR="002778EB" w:rsidRDefault="2A9278A2" w:rsidP="007F5740">
      <w:pPr>
        <w:pStyle w:val="RegPara"/>
      </w:pPr>
      <w:r>
        <w:t>Montenegro performed some source-specific recalculations related to transport, which are described in the end of each sub-sectoral chapter and in chapter 8.1 of the IIR. However, the impact of these recalculations is not clear and quantified. The description is very generic, without detailed information, and almost for all sub-sectors it is only stated that there has been a revision of activity data (i.e. fuel consumption) and country specific net calorific values. For some sub-sectors, the methodology and emission factors of the 2019 Guidebook have been used, but for aviation and road transport, the usage of the 2013 version of the Guidebook is presented as a recalculation/revision (i.e. improvement).</w:t>
      </w:r>
    </w:p>
    <w:p w14:paraId="717CFB2F" w14:textId="72F97DF5" w:rsidR="002778EB" w:rsidRDefault="2A9278A2" w:rsidP="007F5740">
      <w:pPr>
        <w:pStyle w:val="RegPara"/>
      </w:pPr>
      <w:r>
        <w:t xml:space="preserve">The ERT has some concerns about the consistency of emissions time series, since Montenegro does not use the 2019 version of the Guidebook for all transport sub-sectors and </w:t>
      </w:r>
      <w:bookmarkStart w:id="37" w:name="_Hlk76991560"/>
      <w:r>
        <w:t>T</w:t>
      </w:r>
      <w:r w:rsidR="008D04CE">
        <w:t xml:space="preserve">ier </w:t>
      </w:r>
      <w:r>
        <w:t>1 methods are always applied</w:t>
      </w:r>
      <w:bookmarkEnd w:id="37"/>
      <w:r>
        <w:t>. Hence, the appropriate emission factors may not be used for each vehicle/equipment category, fuel used, age, technology/Euro standard, etc.</w:t>
      </w:r>
    </w:p>
    <w:p w14:paraId="62BD3781" w14:textId="77777777" w:rsidR="002778EB" w:rsidRPr="009D5C0F" w:rsidRDefault="2A9278A2" w:rsidP="00632720">
      <w:pPr>
        <w:pStyle w:val="berschrift5"/>
      </w:pPr>
      <w:r>
        <w:t>Comparability</w:t>
      </w:r>
    </w:p>
    <w:p w14:paraId="10072C67" w14:textId="0AD5E470" w:rsidR="002778EB" w:rsidRPr="009D5C0F" w:rsidRDefault="002778EB" w:rsidP="007F5740">
      <w:pPr>
        <w:pStyle w:val="RegPara"/>
      </w:pPr>
      <w:r w:rsidRPr="009D5C0F">
        <w:t>The ERT notes</w:t>
      </w:r>
      <w:r w:rsidRPr="0B5AB0B5">
        <w:t xml:space="preserve"> </w:t>
      </w:r>
      <w:r w:rsidRPr="009D5C0F">
        <w:t>that</w:t>
      </w:r>
      <w:r w:rsidRPr="0B5AB0B5">
        <w:t xml:space="preserve"> </w:t>
      </w:r>
      <w:r>
        <w:t>Montenegro</w:t>
      </w:r>
      <w:r w:rsidRPr="0B5AB0B5">
        <w:t xml:space="preserve"> </w:t>
      </w:r>
      <w:bookmarkStart w:id="38" w:name="_Hlk44509741"/>
      <w:r>
        <w:t xml:space="preserve">does not </w:t>
      </w:r>
      <w:r w:rsidRPr="009D5C0F">
        <w:t>use</w:t>
      </w:r>
      <w:r w:rsidRPr="0B5AB0B5">
        <w:t xml:space="preserve"> </w:t>
      </w:r>
      <w:r w:rsidRPr="009D5C0F">
        <w:t>methodologies in accordance</w:t>
      </w:r>
      <w:r w:rsidRPr="0B5AB0B5">
        <w:t xml:space="preserve"> </w:t>
      </w:r>
      <w:r w:rsidRPr="009D5C0F">
        <w:t>with</w:t>
      </w:r>
      <w:r w:rsidRPr="0B5AB0B5">
        <w:t xml:space="preserve"> </w:t>
      </w:r>
      <w:r w:rsidRPr="009D5C0F">
        <w:t>the 2019 version</w:t>
      </w:r>
      <w:r w:rsidRPr="0B5AB0B5">
        <w:t xml:space="preserve"> </w:t>
      </w:r>
      <w:r w:rsidRPr="009D5C0F">
        <w:t>of</w:t>
      </w:r>
      <w:r w:rsidRPr="0B5AB0B5">
        <w:t xml:space="preserve"> </w:t>
      </w:r>
      <w:r w:rsidRPr="009D5C0F">
        <w:t>the</w:t>
      </w:r>
      <w:r w:rsidRPr="0B5AB0B5">
        <w:t xml:space="preserve"> </w:t>
      </w:r>
      <w:r w:rsidRPr="009D5C0F">
        <w:t>Guidebook</w:t>
      </w:r>
      <w:r w:rsidRPr="0B5AB0B5">
        <w:t xml:space="preserve"> </w:t>
      </w:r>
      <w:r w:rsidRPr="009D5C0F">
        <w:t>for</w:t>
      </w:r>
      <w:r w:rsidRPr="0B5AB0B5">
        <w:t xml:space="preserve"> </w:t>
      </w:r>
      <w:r>
        <w:t xml:space="preserve">all </w:t>
      </w:r>
      <w:r w:rsidRPr="009D5C0F">
        <w:t>transport</w:t>
      </w:r>
      <w:r w:rsidRPr="0B5AB0B5">
        <w:t xml:space="preserve"> </w:t>
      </w:r>
      <w:r>
        <w:t>sub-</w:t>
      </w:r>
      <w:r w:rsidRPr="009D5C0F">
        <w:t>sector</w:t>
      </w:r>
      <w:bookmarkEnd w:id="38"/>
      <w:r>
        <w:t>s. In addition</w:t>
      </w:r>
      <w:r w:rsidRPr="0B5AB0B5">
        <w:t xml:space="preserve">, </w:t>
      </w:r>
      <w:r w:rsidRPr="008D4FAA">
        <w:t>T</w:t>
      </w:r>
      <w:r w:rsidR="008D04CE">
        <w:t xml:space="preserve">ier </w:t>
      </w:r>
      <w:r>
        <w:t>1</w:t>
      </w:r>
      <w:r w:rsidRPr="0B5AB0B5">
        <w:t xml:space="preserve"> </w:t>
      </w:r>
      <w:r w:rsidRPr="008D4FAA">
        <w:t>methods</w:t>
      </w:r>
      <w:r w:rsidRPr="0B5AB0B5">
        <w:t xml:space="preserve"> </w:t>
      </w:r>
      <w:r>
        <w:t>are</w:t>
      </w:r>
      <w:r w:rsidRPr="0B5AB0B5">
        <w:t xml:space="preserve"> </w:t>
      </w:r>
      <w:r w:rsidR="008D04CE">
        <w:t>used,</w:t>
      </w:r>
      <w:r>
        <w:t xml:space="preserve"> and some sub-sectors</w:t>
      </w:r>
      <w:r w:rsidRPr="0B5AB0B5">
        <w:t xml:space="preserve"> </w:t>
      </w:r>
      <w:r>
        <w:t>are</w:t>
      </w:r>
      <w:r w:rsidRPr="0B5AB0B5">
        <w:t xml:space="preserve"> </w:t>
      </w:r>
      <w:r>
        <w:t>denoted</w:t>
      </w:r>
      <w:r w:rsidRPr="0B5AB0B5">
        <w:t xml:space="preserve"> </w:t>
      </w:r>
      <w:r>
        <w:t>as IE or NE. T</w:t>
      </w:r>
      <w:r w:rsidRPr="009D5C0F">
        <w:t>he emissions</w:t>
      </w:r>
      <w:r w:rsidRPr="0B5AB0B5">
        <w:t xml:space="preserve"> </w:t>
      </w:r>
      <w:r w:rsidRPr="009D5C0F">
        <w:t>are</w:t>
      </w:r>
      <w:r w:rsidRPr="0B5AB0B5">
        <w:t xml:space="preserve"> </w:t>
      </w:r>
      <w:r w:rsidRPr="009D5C0F">
        <w:t>reported in NFR2019 format</w:t>
      </w:r>
      <w:r>
        <w:t>. The comparability</w:t>
      </w:r>
      <w:r w:rsidRPr="0B5AB0B5">
        <w:t xml:space="preserve"> </w:t>
      </w:r>
      <w:r>
        <w:t>of</w:t>
      </w:r>
      <w:r w:rsidRPr="0B5AB0B5">
        <w:t xml:space="preserve"> </w:t>
      </w:r>
      <w:r w:rsidRPr="009D5C0F">
        <w:t>the</w:t>
      </w:r>
      <w:r w:rsidRPr="0B5AB0B5">
        <w:t xml:space="preserve"> </w:t>
      </w:r>
      <w:r w:rsidRPr="009D5C0F">
        <w:t>inventory</w:t>
      </w:r>
      <w:r w:rsidRPr="0B5AB0B5">
        <w:t xml:space="preserve"> </w:t>
      </w:r>
      <w:r w:rsidRPr="009D5C0F">
        <w:t>of</w:t>
      </w:r>
      <w:r w:rsidRPr="0B5AB0B5">
        <w:t xml:space="preserve"> </w:t>
      </w:r>
      <w:r>
        <w:t>Montenegro (</w:t>
      </w:r>
      <w:r w:rsidRPr="009D5C0F">
        <w:t>with</w:t>
      </w:r>
      <w:r w:rsidRPr="0B5AB0B5">
        <w:t xml:space="preserve"> </w:t>
      </w:r>
      <w:r>
        <w:t>respect</w:t>
      </w:r>
      <w:r w:rsidRPr="0B5AB0B5">
        <w:t xml:space="preserve"> </w:t>
      </w:r>
      <w:r>
        <w:t>to</w:t>
      </w:r>
      <w:r w:rsidRPr="0B5AB0B5">
        <w:t xml:space="preserve"> </w:t>
      </w:r>
      <w:r w:rsidRPr="009D5C0F">
        <w:t>other</w:t>
      </w:r>
      <w:r w:rsidRPr="0B5AB0B5">
        <w:t xml:space="preserve"> </w:t>
      </w:r>
      <w:r w:rsidRPr="009D5C0F">
        <w:t>reporting</w:t>
      </w:r>
      <w:r w:rsidRPr="0B5AB0B5">
        <w:t xml:space="preserve"> </w:t>
      </w:r>
      <w:r w:rsidRPr="009D5C0F">
        <w:t>Parties</w:t>
      </w:r>
      <w:r w:rsidRPr="0B5AB0B5">
        <w:t xml:space="preserve">) </w:t>
      </w:r>
      <w:r>
        <w:t>can</w:t>
      </w:r>
      <w:r w:rsidRPr="0B5AB0B5">
        <w:t xml:space="preserve"> </w:t>
      </w:r>
      <w:r>
        <w:t>be</w:t>
      </w:r>
      <w:r w:rsidRPr="0B5AB0B5">
        <w:t xml:space="preserve"> </w:t>
      </w:r>
      <w:r>
        <w:t>improved</w:t>
      </w:r>
      <w:r w:rsidRPr="0B5AB0B5">
        <w:t>.</w:t>
      </w:r>
    </w:p>
    <w:p w14:paraId="7E3F2B67" w14:textId="77777777" w:rsidR="002778EB" w:rsidRPr="00123DFB" w:rsidRDefault="2A9278A2" w:rsidP="00632720">
      <w:pPr>
        <w:pStyle w:val="berschrift5"/>
        <w:rPr>
          <w:color w:val="365F91"/>
        </w:rPr>
      </w:pPr>
      <w:r>
        <w:t>Accuracy and uncertainties</w:t>
      </w:r>
    </w:p>
    <w:p w14:paraId="58711344" w14:textId="12A48C64" w:rsidR="002778EB" w:rsidRDefault="2A9278A2" w:rsidP="007F5740">
      <w:pPr>
        <w:pStyle w:val="RegPara"/>
      </w:pPr>
      <w:r>
        <w:t>The Party uses T</w:t>
      </w:r>
      <w:r w:rsidR="008D04CE">
        <w:t xml:space="preserve">ier </w:t>
      </w:r>
      <w:r>
        <w:t xml:space="preserve">1 methods for all transport sub-sectors, while aviation and road transport are based on </w:t>
      </w:r>
      <w:r w:rsidR="008D04CE">
        <w:t xml:space="preserve">older </w:t>
      </w:r>
      <w:r>
        <w:t>versions of the Guidebook prior to 2019. The ERT believes that this may have an impact of the accuracy of the calculated emissions values. An over</w:t>
      </w:r>
      <w:r w:rsidR="006C485B">
        <w:t>/</w:t>
      </w:r>
      <w:r>
        <w:t>underestimate has not been identified in the transport sector.</w:t>
      </w:r>
    </w:p>
    <w:p w14:paraId="04FCF37F" w14:textId="47F2BCDC" w:rsidR="002778EB" w:rsidRPr="008D4FAA" w:rsidRDefault="2A9278A2" w:rsidP="007F5740">
      <w:pPr>
        <w:pStyle w:val="RegPara"/>
      </w:pPr>
      <w:r w:rsidRPr="2A9278A2">
        <w:rPr>
          <w:lang w:val="en-US"/>
        </w:rPr>
        <w:t>A QA/QC plan is provided in chapter 1.6 of the IIR. However, this plan is generic with a lot of</w:t>
      </w:r>
      <w:r w:rsidR="006C485B">
        <w:rPr>
          <w:lang w:val="en-US"/>
        </w:rPr>
        <w:t xml:space="preserve"> </w:t>
      </w:r>
      <w:r w:rsidR="006C485B" w:rsidRPr="2A9278A2">
        <w:rPr>
          <w:lang w:val="en-US"/>
        </w:rPr>
        <w:t>theoretica</w:t>
      </w:r>
      <w:r w:rsidR="006C485B">
        <w:rPr>
          <w:lang w:val="en-US"/>
        </w:rPr>
        <w:t>l</w:t>
      </w:r>
      <w:r w:rsidRPr="2A9278A2">
        <w:rPr>
          <w:lang w:val="en-US"/>
        </w:rPr>
        <w:t xml:space="preserve"> background information. There are no specific examples of QA/QC checks and description of relevant procedures in the transport sector, apart from some general activities described in chapter 3.1.5.3.4 (p. 290) for </w:t>
      </w:r>
      <w:r>
        <w:lastRenderedPageBreak/>
        <w:t xml:space="preserve">Agriculture/Forestry/Fishing: Off-road vehicles and other machinery (1A4cii). The ERT recommends Montenegro to </w:t>
      </w:r>
      <w:bookmarkStart w:id="39" w:name="_Hlk76991696"/>
      <w:r>
        <w:t>include specific examples of QA/QC checks in the transport sector to improve the transparency of the IIR</w:t>
      </w:r>
      <w:bookmarkEnd w:id="39"/>
      <w:r>
        <w:t>.</w:t>
      </w:r>
    </w:p>
    <w:p w14:paraId="7715EFCD" w14:textId="77777777" w:rsidR="002778EB" w:rsidRDefault="2A9278A2" w:rsidP="007F5740">
      <w:pPr>
        <w:pStyle w:val="RegPara"/>
      </w:pPr>
      <w:r>
        <w:t xml:space="preserve">Montenegro </w:t>
      </w:r>
      <w:bookmarkStart w:id="40" w:name="_Hlk76991705"/>
      <w:r>
        <w:t xml:space="preserve">does not provide in the IIR any information related to uncertainty </w:t>
      </w:r>
      <w:bookmarkEnd w:id="40"/>
      <w:r>
        <w:t>analysis carried out for the transport sector, apart from Table 3.135 (p. 290) for Agriculture/Forestry/Fishing: Off-road vehicles and other machinery (1A4cii).</w:t>
      </w:r>
    </w:p>
    <w:p w14:paraId="1F9D932C" w14:textId="77777777" w:rsidR="002778EB" w:rsidRPr="004E2277" w:rsidRDefault="2A9278A2" w:rsidP="00632720">
      <w:pPr>
        <w:pStyle w:val="berschrift5"/>
      </w:pPr>
      <w:r>
        <w:t>Condensable Particulate Matter</w:t>
      </w:r>
    </w:p>
    <w:p w14:paraId="7B23B0A9" w14:textId="77777777" w:rsidR="002778EB" w:rsidRPr="00EB2D17" w:rsidRDefault="2A9278A2" w:rsidP="007F5740">
      <w:pPr>
        <w:pStyle w:val="RegPara"/>
      </w:pPr>
      <w:r>
        <w:t>Montenegro does not provide any information on the inclusion of the condensable component of PM emissions for the transport sector. The ERT recommends that Montenegro provides this information in the next submission, following the recommended structure for IIR in Annex II of the Reporting Guidelines.</w:t>
      </w:r>
    </w:p>
    <w:p w14:paraId="233D2DA5" w14:textId="77777777" w:rsidR="002778EB" w:rsidRPr="00EB2D17" w:rsidRDefault="2A9278A2" w:rsidP="00632720">
      <w:pPr>
        <w:pStyle w:val="berschrift5"/>
        <w:rPr>
          <w:color w:val="365F91"/>
        </w:rPr>
      </w:pPr>
      <w:r>
        <w:t>Improvement</w:t>
      </w:r>
    </w:p>
    <w:p w14:paraId="7D0CDC4B" w14:textId="77777777" w:rsidR="002778EB" w:rsidRPr="00EB2D17" w:rsidRDefault="2A9278A2" w:rsidP="007F5740">
      <w:pPr>
        <w:pStyle w:val="RegPara"/>
      </w:pPr>
      <w:bookmarkStart w:id="41" w:name="_Hlk76991756"/>
      <w:r>
        <w:t xml:space="preserve">The ERT commends Montenegro for the improvements implemented since the previous Stage 3 review (2012) and, specifically, for the provision of an IIR, which was not available in 2012. </w:t>
      </w:r>
      <w:bookmarkEnd w:id="41"/>
      <w:r>
        <w:t>The improvements related to transport are described in the end of each sub-sectoral chapter of the IIR, together with the recalculations; hence, the assessment is similar to the one for recalculations, i.e. the description is very generic, without detailed information. For some sub-sectors, there has been an improvement by updating to the 2019 version of the Guidebook, but for aviation and road transport, the 2013 version is still used.</w:t>
      </w:r>
    </w:p>
    <w:p w14:paraId="716C22C7" w14:textId="77777777" w:rsidR="002778EB" w:rsidRPr="004F413C" w:rsidRDefault="2A9278A2" w:rsidP="007F5740">
      <w:pPr>
        <w:pStyle w:val="RegPara"/>
      </w:pPr>
      <w:r>
        <w:t>The planned improvements of Montenegro are summarised in chapter 8.2 of the IIR. The most significant is the update to a higher than Tier 1 methodology of the 2019 version of the Guidebook for aviation and road transport, with an update of fleet information and movements. Other planned improvements include check of time series consistency and split of aggregated activity data (i.e. fuel/energy consumption) into sub-sectors which are currently denoted as IE.</w:t>
      </w:r>
    </w:p>
    <w:p w14:paraId="5C7F1E1C" w14:textId="77777777" w:rsidR="002778EB" w:rsidRPr="004F413C" w:rsidRDefault="2A9278A2" w:rsidP="00A940A7">
      <w:pPr>
        <w:pStyle w:val="berschrift4"/>
        <w:jc w:val="both"/>
      </w:pPr>
      <w:r>
        <w:t>Potential Technical Corrections</w:t>
      </w:r>
    </w:p>
    <w:p w14:paraId="13B2EEB8" w14:textId="77777777" w:rsidR="002778EB" w:rsidRPr="004F413C" w:rsidRDefault="002778EB" w:rsidP="00A940A7">
      <w:pPr>
        <w:jc w:val="both"/>
      </w:pPr>
    </w:p>
    <w:p w14:paraId="527CB474" w14:textId="77777777" w:rsidR="002778EB" w:rsidRPr="004F413C" w:rsidRDefault="2A9278A2" w:rsidP="007F5740">
      <w:pPr>
        <w:pStyle w:val="RegPara"/>
      </w:pPr>
      <w:r>
        <w:t>No potential technical corrections were made during the review.</w:t>
      </w:r>
    </w:p>
    <w:p w14:paraId="1523950B" w14:textId="77777777" w:rsidR="002778EB" w:rsidRPr="00EB2D17" w:rsidRDefault="2A9278A2" w:rsidP="00A940A7">
      <w:pPr>
        <w:pStyle w:val="berschrift4"/>
        <w:jc w:val="both"/>
      </w:pPr>
      <w:r>
        <w:t>Sub-Sector Specific Recommendations</w:t>
      </w:r>
    </w:p>
    <w:p w14:paraId="111984BD" w14:textId="77777777" w:rsidR="002778EB" w:rsidRPr="00AB4D46" w:rsidRDefault="2A9278A2" w:rsidP="00632720">
      <w:pPr>
        <w:pStyle w:val="berschrift5"/>
        <w:rPr>
          <w:lang w:val="en-US"/>
        </w:rPr>
      </w:pPr>
      <w:r>
        <w:t xml:space="preserve">Category issue 1: 1A3a – </w:t>
      </w:r>
      <w:r w:rsidRPr="2A9278A2">
        <w:rPr>
          <w:lang w:val="en-US"/>
        </w:rPr>
        <w:t>Inconsistency in IIR methodology description</w:t>
      </w:r>
    </w:p>
    <w:p w14:paraId="1B0613EA" w14:textId="4338DE78" w:rsidR="002778EB" w:rsidRDefault="2A9278A2" w:rsidP="007F5740">
      <w:pPr>
        <w:pStyle w:val="RegPara"/>
      </w:pPr>
      <w:r>
        <w:t xml:space="preserve">The ERT noticed an inconsistency in the IIR </w:t>
      </w:r>
      <w:r w:rsidRPr="2A9278A2">
        <w:rPr>
          <w:lang w:val="en-US"/>
        </w:rPr>
        <w:t xml:space="preserve">regarding the methodology used for </w:t>
      </w:r>
      <w:r>
        <w:t xml:space="preserve">emission </w:t>
      </w:r>
      <w:r w:rsidRPr="2A9278A2">
        <w:rPr>
          <w:lang w:val="en-US"/>
        </w:rPr>
        <w:t>calculation</w:t>
      </w:r>
      <w:r>
        <w:t xml:space="preserve">s from the aviation sector. In chapter 3.1.4.1.2.1 (p. 241) it is mentioned that the Tier 1 approach of the Revised 1996 IPCC Guidelines has been used. In the footnote of the same page, the 2019 version of the Guidebook is mentioned, while in chapter 3.1.4.1.3 (p. 246), it is stated that the 2013 Guidebook has been used. In response to a question </w:t>
      </w:r>
      <w:r w:rsidR="006C485B">
        <w:t>raised during the review</w:t>
      </w:r>
      <w:r>
        <w:t xml:space="preserve">, Montenegro </w:t>
      </w:r>
      <w:r w:rsidR="006C485B">
        <w:t>responded</w:t>
      </w:r>
      <w:r>
        <w:t xml:space="preserve"> that this is due to a</w:t>
      </w:r>
      <w:r w:rsidRPr="2A9278A2">
        <w:rPr>
          <w:lang w:val="el-GR"/>
        </w:rPr>
        <w:t xml:space="preserve"> </w:t>
      </w:r>
      <w:r w:rsidRPr="2A9278A2">
        <w:rPr>
          <w:lang w:val="en-US"/>
        </w:rPr>
        <w:t>confusion between submissions of IIR (for air pollutants) and NIR (for GHG)</w:t>
      </w:r>
      <w:r w:rsidR="006C485B">
        <w:rPr>
          <w:lang w:val="en-US"/>
        </w:rPr>
        <w:t>. For A</w:t>
      </w:r>
      <w:r w:rsidRPr="2A9278A2">
        <w:rPr>
          <w:lang w:val="en-US"/>
        </w:rPr>
        <w:t xml:space="preserve">ir pollutants, the </w:t>
      </w:r>
      <w:r>
        <w:t>2013 Guidebook has been used with Tier 1 emission factors.</w:t>
      </w:r>
    </w:p>
    <w:p w14:paraId="5336B5E6" w14:textId="77777777" w:rsidR="002778EB" w:rsidRPr="00EB2D17" w:rsidRDefault="2A9278A2" w:rsidP="007F5740">
      <w:pPr>
        <w:pStyle w:val="RegPara"/>
      </w:pPr>
      <w:r>
        <w:lastRenderedPageBreak/>
        <w:t>The ERT recommends that Montenegro eliminates this inconsistency by making clear in the IIR the methodology that has been used for 1A3a</w:t>
      </w:r>
      <w:r w:rsidRPr="2A9278A2">
        <w:rPr>
          <w:lang w:val="el-GR"/>
        </w:rPr>
        <w:t xml:space="preserve">. </w:t>
      </w:r>
      <w:r w:rsidRPr="2A9278A2">
        <w:rPr>
          <w:lang w:val="en-US"/>
        </w:rPr>
        <w:t>In</w:t>
      </w:r>
      <w:r>
        <w:t xml:space="preserve"> any case, an update to a higher than Tier 1 methodology using the 2019 version of the Guidebook is recommended, as already planned. This will improve the accuracy of the calculated emission values and the comparability of the inventory.</w:t>
      </w:r>
    </w:p>
    <w:p w14:paraId="74ED13BD" w14:textId="77777777" w:rsidR="002778EB" w:rsidRPr="00AB4D46" w:rsidRDefault="2A9278A2" w:rsidP="00632720">
      <w:pPr>
        <w:pStyle w:val="berschrift5"/>
        <w:rPr>
          <w:lang w:val="en-US"/>
        </w:rPr>
      </w:pPr>
      <w:r>
        <w:t xml:space="preserve">Category issue 2: 1A3aii – </w:t>
      </w:r>
      <w:r w:rsidRPr="2A9278A2">
        <w:rPr>
          <w:lang w:val="en-US"/>
        </w:rPr>
        <w:t>NO for LTO, NA for cruise</w:t>
      </w:r>
    </w:p>
    <w:p w14:paraId="461B3C09" w14:textId="552ABE64" w:rsidR="002778EB" w:rsidRPr="00EB2D17" w:rsidRDefault="2A9278A2" w:rsidP="007F5740">
      <w:pPr>
        <w:pStyle w:val="RegPara"/>
      </w:pPr>
      <w:r>
        <w:t xml:space="preserve">The ERT noticed in the NFR tables that the notation key NO is used for the LTO part of domestic aviation (1A3aii(i)), while NA is used for cruise (1A3aii(ii)). On the other hand, according to Tables 3.98 and 3.99 (pp. 239-240) of the IIR, emissions from domestic aviation (1A3aii) have been estimated. Hence, there is an inconsistency related to whether emissions from domestic aviation are reported or not and what is the appropriate notation key that should be used, i.e. NO or NA. In response to a question </w:t>
      </w:r>
      <w:r w:rsidR="006C485B">
        <w:t>raised during the review</w:t>
      </w:r>
      <w:r>
        <w:t xml:space="preserve">, Montenegro answered that NO should be used </w:t>
      </w:r>
      <w:r w:rsidR="006C485B">
        <w:t>throughout</w:t>
      </w:r>
      <w:r>
        <w:t>.</w:t>
      </w:r>
    </w:p>
    <w:p w14:paraId="1DDB0135" w14:textId="79334122" w:rsidR="002778EB" w:rsidRPr="00EB2D17" w:rsidRDefault="2A9278A2" w:rsidP="007F5740">
      <w:pPr>
        <w:pStyle w:val="RegPara"/>
      </w:pPr>
      <w:r>
        <w:t xml:space="preserve">The ERT recommends that Montenegro eliminates this inconsistency by making clear in the IIR if emissions from domestic aviation (1A3aii) are reported and also align the usage of the notation key </w:t>
      </w:r>
      <w:r w:rsidR="006C485B">
        <w:t>throughout</w:t>
      </w:r>
      <w:r>
        <w:t xml:space="preserve"> (i.e. IIR and NFR).</w:t>
      </w:r>
    </w:p>
    <w:p w14:paraId="75CA2338" w14:textId="77777777" w:rsidR="002778EB" w:rsidRPr="00EB2D17" w:rsidRDefault="2A9278A2" w:rsidP="00632720">
      <w:pPr>
        <w:pStyle w:val="berschrift5"/>
      </w:pPr>
      <w:r>
        <w:t>Category issue 3: 1A3bi-iv – Tier 1 methodology</w:t>
      </w:r>
    </w:p>
    <w:p w14:paraId="66B61ACB" w14:textId="2EAD7CE4" w:rsidR="002778EB" w:rsidRPr="00EB2D17" w:rsidRDefault="2A9278A2" w:rsidP="007F5740">
      <w:pPr>
        <w:pStyle w:val="RegPara"/>
      </w:pPr>
      <w:r>
        <w:t xml:space="preserve">The ERT noticed in the IIR (p. 247) that Tier 1 methodology of the 2016 version of the Guidebook is used for emission calculations from the road transport sector (1A3bi-iv). However, this approach has a significant impact on the accuracy of the calculated values, since it does not take into account all the parameters that affect the vehicle emissions, i.e. fuel used, segment, age, technology / Euro standard, speed, and other driving conditions. In response to a question </w:t>
      </w:r>
      <w:r w:rsidR="006C485B">
        <w:t>raised during the review</w:t>
      </w:r>
      <w:r>
        <w:t>, Montenegro answered that Tier 1 methodology of the 2019 Guidebook has been used and that there is a plan with an ongoing project to update to Tier 3.</w:t>
      </w:r>
    </w:p>
    <w:p w14:paraId="732EDCE6" w14:textId="55DA47CF" w:rsidR="002778EB" w:rsidRPr="00EB2D17" w:rsidRDefault="2A9278A2" w:rsidP="007F5740">
      <w:pPr>
        <w:pStyle w:val="RegPara"/>
      </w:pPr>
      <w:r>
        <w:t xml:space="preserve">The ERT welcomes this plan and strongly recommends that Montenegro updates to a higher </w:t>
      </w:r>
      <w:r w:rsidR="003377C8">
        <w:t>Tier methodology</w:t>
      </w:r>
      <w:r>
        <w:t xml:space="preserve"> for road transport. This will improve the accuracy of the calculated emission values and the comparability of the inventory.</w:t>
      </w:r>
    </w:p>
    <w:p w14:paraId="67DD46C2" w14:textId="77777777" w:rsidR="002778EB" w:rsidRPr="00FE2175" w:rsidRDefault="2A9278A2" w:rsidP="00632720">
      <w:pPr>
        <w:pStyle w:val="berschrift5"/>
        <w:rPr>
          <w:lang w:val="en-US"/>
        </w:rPr>
      </w:pPr>
      <w:r>
        <w:t>Category issue 4: 1A3bi-iv – Accuracy related to vehicle categories/statistical data and emission factors</w:t>
      </w:r>
    </w:p>
    <w:p w14:paraId="2EF06D33" w14:textId="08B7B7BA" w:rsidR="002778EB" w:rsidRPr="00EB2D17" w:rsidRDefault="2A9278A2" w:rsidP="007F5740">
      <w:pPr>
        <w:pStyle w:val="RegPara"/>
      </w:pPr>
      <w:r>
        <w:t xml:space="preserve">The ERT noticed in the IIR (p. 247, Step 1 of activity data production) that the Light duty vehicles NFR category (1A3bii) is empty and the Heavy duty vehicles category (1A3biii) includes Buses + Goods vehicles + Road tractors from the National Transport Statistics of Montenegro. However, Light duty vehicles (LDV) are provided in the vehicle categories of Step 2, p. 248, including Vans and Special Passenger vehicles. Hence, there seems to be an inconsistency in the description of the various steps of activity data production. Furthermore, there are concerns related to the accuracy of the calculated emission values, since the emission factors have significant differences among the various vehicle categories and it is not clear from the IIR whether the appropriate emission factors are used for each vehicle category. In response to a question </w:t>
      </w:r>
      <w:r w:rsidR="006C485B">
        <w:t>raised during the review</w:t>
      </w:r>
      <w:r>
        <w:t xml:space="preserve">, Montenegro answered that Tier 1 emission factors of the 2019 Guidebook have been used for each one of the road </w:t>
      </w:r>
      <w:r>
        <w:lastRenderedPageBreak/>
        <w:t>transport sub-sectors (i.e. 1A3bi, 1A3bii, 1A3biii, 1A3biv) and that there is a plan with an ongoing project to update to Tier 3.</w:t>
      </w:r>
    </w:p>
    <w:p w14:paraId="589A0682" w14:textId="0514FEF7" w:rsidR="002778EB" w:rsidRPr="00EB2D17" w:rsidRDefault="2A9278A2" w:rsidP="007F5740">
      <w:pPr>
        <w:pStyle w:val="RegPara"/>
      </w:pPr>
      <w:r>
        <w:t>The ERT welcomes this plan and strongly recommends that Montenegro updates to a higher Tier methodology for road transport. In addition, the ERT recommends that Montenegro improves the quality and transparency of the IIR, by eliminating any inconsistencies in the description of the various steps of activity data production for road.</w:t>
      </w:r>
    </w:p>
    <w:p w14:paraId="27F87FEC" w14:textId="77777777" w:rsidR="002778EB" w:rsidRPr="00EB2D17" w:rsidRDefault="2A9278A2" w:rsidP="00632720">
      <w:pPr>
        <w:pStyle w:val="berschrift5"/>
      </w:pPr>
      <w:r>
        <w:t xml:space="preserve">Category issue 5: 1A3bii-iv – Same activity data </w:t>
      </w:r>
      <w:r w:rsidRPr="2A9278A2">
        <w:rPr>
          <w:lang w:val="en-US"/>
        </w:rPr>
        <w:t xml:space="preserve">values </w:t>
      </w:r>
      <w:r>
        <w:t>in NFR</w:t>
      </w:r>
    </w:p>
    <w:p w14:paraId="03503A49" w14:textId="77777777" w:rsidR="002778EB" w:rsidRPr="00EB2D17" w:rsidRDefault="2A9278A2" w:rsidP="007F5740">
      <w:pPr>
        <w:pStyle w:val="RegPara"/>
      </w:pPr>
      <w:r>
        <w:t>The ERT noticed in the NFR that the activity data (i.e. liquid and gaseous fuels, TJ) for road transport Light duty vehicles (1A3bii), Heavy duty vehicles and buses (1A3biii), and Mopeds and motorcycles (1A3biv), are identical, i.e. the same values are reported for each one of these sub-categories.</w:t>
      </w:r>
      <w:r w:rsidRPr="2A9278A2">
        <w:rPr>
          <w:lang w:val="el-GR"/>
        </w:rPr>
        <w:t xml:space="preserve"> </w:t>
      </w:r>
      <w:r w:rsidRPr="2A9278A2">
        <w:rPr>
          <w:lang w:val="en-US"/>
        </w:rPr>
        <w:t>The ERT found no explanation for this in the IIR. In response to a question on the issue, Montenegro answered that this is due to a broken link in the excel file with activity data, which was not identified by the QA/QC activities.</w:t>
      </w:r>
    </w:p>
    <w:p w14:paraId="37D8A2D1" w14:textId="1185F4D1" w:rsidR="002778EB" w:rsidRDefault="2A9278A2" w:rsidP="007F5740">
      <w:pPr>
        <w:pStyle w:val="RegPara"/>
      </w:pPr>
      <w:r>
        <w:t>The ERT recommends that Montenegro reports the correct values of activity in the NFR tables and improves the QA/QC checks to eliminate similar errors.</w:t>
      </w:r>
    </w:p>
    <w:p w14:paraId="0CEAEA6C" w14:textId="77777777" w:rsidR="002778EB" w:rsidRPr="00EB2D17" w:rsidRDefault="2A9278A2" w:rsidP="00632720">
      <w:pPr>
        <w:pStyle w:val="berschrift5"/>
      </w:pPr>
      <w:r>
        <w:t>Category issue 6: 1A3bi-iv – SO</w:t>
      </w:r>
      <w:r w:rsidRPr="2A9278A2">
        <w:rPr>
          <w:vertAlign w:val="subscript"/>
        </w:rPr>
        <w:t>x</w:t>
      </w:r>
      <w:r>
        <w:t>, BC, Cd, Hg, additional HMs, dioxins/furans, HCB, PCBs emissions NE</w:t>
      </w:r>
    </w:p>
    <w:p w14:paraId="2B2FE815" w14:textId="6ED039B7" w:rsidR="002778EB" w:rsidRPr="00EB2D17" w:rsidRDefault="2A9278A2" w:rsidP="007F5740">
      <w:pPr>
        <w:pStyle w:val="RegPara"/>
      </w:pPr>
      <w:r>
        <w:t>The ERT noticed in the IIR (Table 1.26, p. 68) and in the NFR that SO</w:t>
      </w:r>
      <w:r w:rsidRPr="2A9278A2">
        <w:rPr>
          <w:vertAlign w:val="subscript"/>
        </w:rPr>
        <w:t>x</w:t>
      </w:r>
      <w:r>
        <w:t xml:space="preserve">, BC, Cd, Hg, all additional HMs, dioxins/furans, HCB, PCBs emissions from road transport (1A3bi-iv) are NE. The ERT understands that this is possibly related to Tier 1 method used and lack of detailed information </w:t>
      </w:r>
      <w:r w:rsidR="005145FD">
        <w:t>of</w:t>
      </w:r>
      <w:r>
        <w:t xml:space="preserve"> the vehicle fleet (see Category issue 3). However, this issue affects the completeness of the inventory, since the emissions of these pollutants are not provided. In response to a question </w:t>
      </w:r>
      <w:r w:rsidR="005145FD">
        <w:t>raised during the review</w:t>
      </w:r>
      <w:r>
        <w:t>, Montenegro answered that this is due to lack of capacity and that there is a plan with an ongoing project to update to Tier 3 for 1A3b and provide emission estimates which are currently missing.</w:t>
      </w:r>
    </w:p>
    <w:p w14:paraId="67E745F8" w14:textId="77777777" w:rsidR="002778EB" w:rsidRDefault="2A9278A2" w:rsidP="007F5740">
      <w:pPr>
        <w:pStyle w:val="RegPara"/>
      </w:pPr>
      <w:r>
        <w:t>The ERT recommends that Montenegro calculates and provides emissions from road transport (1A3bi-iv) for pollutants which are required according to the Reporting Guidelines paragraph 7, i.e. SO</w:t>
      </w:r>
      <w:r w:rsidRPr="2A9278A2">
        <w:rPr>
          <w:vertAlign w:val="subscript"/>
        </w:rPr>
        <w:t>x</w:t>
      </w:r>
      <w:r>
        <w:t>, Cd, Hg, dioxins/furans, HCB, PCBs, in order to improve the completeness of the inventory. The ERT also encourages Montenegro to calculate and provide emissions from road transport (1A3bi-iv) for additional (i.e. non-priority) pollutants as mentioned in the Reporting Guidelines paragraph 8, i.e. BC, and additional HMs.</w:t>
      </w:r>
    </w:p>
    <w:p w14:paraId="2E741ADA" w14:textId="77777777" w:rsidR="002778EB" w:rsidRPr="00EB2D17" w:rsidRDefault="2A9278A2" w:rsidP="00632720">
      <w:pPr>
        <w:pStyle w:val="berschrift5"/>
      </w:pPr>
      <w:r>
        <w:t>Category issue 7: 1A3bv-vii – Inconsistency between IIR and NFR</w:t>
      </w:r>
    </w:p>
    <w:p w14:paraId="3736FC48" w14:textId="2D47B4FA" w:rsidR="002778EB" w:rsidRPr="00EB2D17" w:rsidRDefault="2A9278A2" w:rsidP="007F5740">
      <w:pPr>
        <w:pStyle w:val="RegPara"/>
      </w:pPr>
      <w:r>
        <w:t xml:space="preserve">The ERT noticed in the IIR (Table 1.26, p. 68) that the pollutants related to Road transport: Gasoline evaporation (1A3bv), i.e. NMVOC, and Road transport: Automobile tyre and brake wear and road abrasion (1A3bvi-vii), i.e. all PM, are NE. However, this is inconsistent with NFR tables, where values are provided for years 1998-2019, while for years prior to 1997, NE is also used in the NFR. The NFR values are also summarised in the IIR chapter 11 Annex – NFR Tables (p. 400-411) for years 2019, 2005, 1990. This inconsistency among various tables </w:t>
      </w:r>
      <w:r w:rsidR="005145FD">
        <w:t>within the</w:t>
      </w:r>
      <w:r>
        <w:t xml:space="preserve"> IIR and between </w:t>
      </w:r>
      <w:r>
        <w:lastRenderedPageBreak/>
        <w:t>IIR and NFR confuses the reader, while there is also an issue of completeness, since NFR values are not provided for years prior to 1997. In response to a question on the issue, Montenegro answered that there is an ongoing process to improve activity data collection and, hence, provide emission estimates for missing years.</w:t>
      </w:r>
    </w:p>
    <w:p w14:paraId="53791CE3" w14:textId="3C63D5BE" w:rsidR="002778EB" w:rsidRPr="00EB2D17" w:rsidRDefault="2A9278A2" w:rsidP="007F5740">
      <w:pPr>
        <w:pStyle w:val="RegPara"/>
      </w:pPr>
      <w:r>
        <w:t>The ERT recommends that Montenegro calculates and reports NMVOC emissions for 1A3bv and all PM emissions for 1A3bvi-vii for years prior to 1997 to improve the completeness of the inventory and also align the description of the IIR with NFR to improve the consistency of these documents.</w:t>
      </w:r>
    </w:p>
    <w:p w14:paraId="68561C49" w14:textId="77777777" w:rsidR="002778EB" w:rsidRPr="00EB2D17" w:rsidRDefault="2A9278A2" w:rsidP="00632720">
      <w:pPr>
        <w:pStyle w:val="berschrift5"/>
      </w:pPr>
      <w:r>
        <w:t>Category issue 8: 1A3b – Inconsistency in IIR Tables</w:t>
      </w:r>
    </w:p>
    <w:p w14:paraId="4A8804F8" w14:textId="22371708" w:rsidR="002778EB" w:rsidRPr="00EB2D17" w:rsidRDefault="2A9278A2" w:rsidP="007F5740">
      <w:pPr>
        <w:pStyle w:val="RegPara"/>
      </w:pPr>
      <w:r>
        <w:t xml:space="preserve">The ERT noticed in the IIR Tables 3.104 and 3.105 (p. 251) that in the first column (source category) the sub-sectors 1A3a, 1A2g7 are mentioned, in contrast to what would be expected according to the respective table headings, i.e. 1A3b road transport. In response to a question </w:t>
      </w:r>
      <w:r w:rsidR="005145FD">
        <w:t>raised during the review</w:t>
      </w:r>
      <w:r>
        <w:t>, Montenegro answered that this is due to a copy-paste mistake.</w:t>
      </w:r>
    </w:p>
    <w:p w14:paraId="5F337FE0" w14:textId="54184541" w:rsidR="002778EB" w:rsidRPr="00EB2D17" w:rsidRDefault="2A9278A2" w:rsidP="007F5740">
      <w:pPr>
        <w:pStyle w:val="RegPara"/>
      </w:pPr>
      <w:r>
        <w:t>The ERT recommends that Montenegro corrects this error to improve the consistency of the IIR.</w:t>
      </w:r>
    </w:p>
    <w:p w14:paraId="55BD8FC9" w14:textId="77777777" w:rsidR="002778EB" w:rsidRPr="00EB2D17" w:rsidRDefault="2A9278A2" w:rsidP="00632720">
      <w:pPr>
        <w:pStyle w:val="berschrift5"/>
      </w:pPr>
      <w:r>
        <w:t>Category issue 9: 1A3c – No description in IIR</w:t>
      </w:r>
    </w:p>
    <w:p w14:paraId="644202EF" w14:textId="4301A402" w:rsidR="002778EB" w:rsidRPr="00EB2D17" w:rsidRDefault="2A9278A2" w:rsidP="007F5740">
      <w:pPr>
        <w:pStyle w:val="RegPara"/>
      </w:pPr>
      <w:r>
        <w:t>The ERT noticed in the IIR (Table 1.26, p. 68) that NO</w:t>
      </w:r>
      <w:r w:rsidRPr="2A9278A2">
        <w:rPr>
          <w:vertAlign w:val="subscript"/>
        </w:rPr>
        <w:t>x</w:t>
      </w:r>
      <w:r>
        <w:t>, NMVOC, NH</w:t>
      </w:r>
      <w:r w:rsidRPr="2A9278A2">
        <w:rPr>
          <w:vertAlign w:val="subscript"/>
        </w:rPr>
        <w:t>3</w:t>
      </w:r>
      <w:r>
        <w:t xml:space="preserve">, all PM (except BC), CO, Cd, all additional HMs (except As), and PAHs, are calculated for the railways sub-sector (1A3c). BC, Pb, Hg, As, and dioxins/furans are </w:t>
      </w:r>
      <w:r w:rsidR="00453974">
        <w:t xml:space="preserve">reported as </w:t>
      </w:r>
      <w:r>
        <w:t>NE, SO</w:t>
      </w:r>
      <w:r w:rsidRPr="2A9278A2">
        <w:rPr>
          <w:vertAlign w:val="subscript"/>
        </w:rPr>
        <w:t>x</w:t>
      </w:r>
      <w:r>
        <w:t xml:space="preserve"> is</w:t>
      </w:r>
      <w:r w:rsidR="00453974">
        <w:t xml:space="preserve"> reported as</w:t>
      </w:r>
      <w:r>
        <w:t xml:space="preserve"> IE, </w:t>
      </w:r>
      <w:r w:rsidR="00453974">
        <w:t>and HCB</w:t>
      </w:r>
      <w:r>
        <w:t xml:space="preserve">, PCBs are </w:t>
      </w:r>
      <w:r w:rsidR="00453974">
        <w:t xml:space="preserve">reported as </w:t>
      </w:r>
      <w:r>
        <w:t xml:space="preserve">NA. Nevertheless, there is no methodological </w:t>
      </w:r>
      <w:r w:rsidR="00453974">
        <w:t>description,</w:t>
      </w:r>
      <w:r>
        <w:t xml:space="preserve"> or any other information related to 1A3c. The only additional item related to railways is in chapter 11 Annex – NFR Tables (p. 400-411), where emission values are provided for years 1990, 2005, while for 2019 the notation key NO is used. In addition, the ERT noticed that in Annex I values, all emissions and activity data in the period 2011-2019 are </w:t>
      </w:r>
      <w:r w:rsidR="00453974">
        <w:t xml:space="preserve">reported as </w:t>
      </w:r>
      <w:r>
        <w:t xml:space="preserve">NO. Due to lack of relevant information in the IIR, no further assessment can be made. In response to a question </w:t>
      </w:r>
      <w:r w:rsidR="00453974">
        <w:t>raised during the review</w:t>
      </w:r>
      <w:r>
        <w:t>, Montenegro answered that Tier 1 emission factors from the Guidebook have been used and that the network has been electrified since 2011, hence, no emissions occur since then.</w:t>
      </w:r>
    </w:p>
    <w:p w14:paraId="537780C3" w14:textId="77777777" w:rsidR="002778EB" w:rsidRPr="00EB2D17" w:rsidRDefault="2A9278A2" w:rsidP="007F5740">
      <w:pPr>
        <w:pStyle w:val="RegPara"/>
      </w:pPr>
      <w:r>
        <w:t>The ERT recommends that Montenegro provides the methodological description of 1A3c emission calculations in the IIR and align the usage of notation keys in the various sections of the IIR and NFR tables.</w:t>
      </w:r>
    </w:p>
    <w:p w14:paraId="2A938EEF" w14:textId="77777777" w:rsidR="002778EB" w:rsidRPr="00EB2D17" w:rsidRDefault="2A9278A2" w:rsidP="00632720">
      <w:pPr>
        <w:pStyle w:val="berschrift5"/>
      </w:pPr>
      <w:r>
        <w:t xml:space="preserve">Category issue 10: </w:t>
      </w:r>
      <w:r w:rsidRPr="2A9278A2">
        <w:rPr>
          <w:lang w:val="el-GR"/>
        </w:rPr>
        <w:t>1A3di(ii)</w:t>
      </w:r>
      <w:r w:rsidRPr="2A9278A2">
        <w:rPr>
          <w:lang w:val="en-US"/>
        </w:rPr>
        <w:t xml:space="preserve">, </w:t>
      </w:r>
      <w:r>
        <w:t>1A3dii – No description in IIR</w:t>
      </w:r>
    </w:p>
    <w:p w14:paraId="79DF3559" w14:textId="5600B084" w:rsidR="002778EB" w:rsidRPr="00EB2D17" w:rsidRDefault="2A9278A2" w:rsidP="007F5740">
      <w:pPr>
        <w:pStyle w:val="RegPara"/>
      </w:pPr>
      <w:r>
        <w:t>The ERT noticed in the IIR (Table 1.26, p. 68) that NO</w:t>
      </w:r>
      <w:r w:rsidRPr="2A9278A2">
        <w:rPr>
          <w:vertAlign w:val="subscript"/>
        </w:rPr>
        <w:t>x</w:t>
      </w:r>
      <w:r>
        <w:t>, NMVOC, SO</w:t>
      </w:r>
      <w:r w:rsidRPr="2A9278A2">
        <w:rPr>
          <w:vertAlign w:val="subscript"/>
        </w:rPr>
        <w:t>x</w:t>
      </w:r>
      <w:r>
        <w:t>, NH</w:t>
      </w:r>
      <w:r w:rsidRPr="2A9278A2">
        <w:rPr>
          <w:vertAlign w:val="subscript"/>
        </w:rPr>
        <w:t>3</w:t>
      </w:r>
      <w:r>
        <w:t xml:space="preserve">, all PM (except BC), and CO, are </w:t>
      </w:r>
      <w:r w:rsidR="00A75B33">
        <w:t xml:space="preserve">reported as </w:t>
      </w:r>
      <w:r>
        <w:t>IE for international inland waterways (</w:t>
      </w:r>
      <w:r w:rsidRPr="2A9278A2">
        <w:rPr>
          <w:lang w:val="el-GR"/>
        </w:rPr>
        <w:t>1A3di(ii)</w:t>
      </w:r>
      <w:r>
        <w:t>), while all remaining pollutant emissions are</w:t>
      </w:r>
      <w:r w:rsidR="00A75B33">
        <w:t xml:space="preserve"> reported as</w:t>
      </w:r>
      <w:r>
        <w:t xml:space="preserve"> NE, apart from HCB and PCBs which are </w:t>
      </w:r>
      <w:r w:rsidR="00A75B33">
        <w:t xml:space="preserve">reported as </w:t>
      </w:r>
      <w:r>
        <w:t>NA. In the same table, for national navigation (shipping) (1A3dii), NO</w:t>
      </w:r>
      <w:r w:rsidRPr="2A9278A2">
        <w:rPr>
          <w:vertAlign w:val="subscript"/>
        </w:rPr>
        <w:t>x</w:t>
      </w:r>
      <w:r>
        <w:t>, NMVOC, NH</w:t>
      </w:r>
      <w:r w:rsidRPr="2A9278A2">
        <w:rPr>
          <w:vertAlign w:val="subscript"/>
        </w:rPr>
        <w:t>3</w:t>
      </w:r>
      <w:r>
        <w:t>, all PM (except BC), and CO, are marked as calculated, SO</w:t>
      </w:r>
      <w:r w:rsidRPr="2A9278A2">
        <w:rPr>
          <w:vertAlign w:val="subscript"/>
        </w:rPr>
        <w:t>x</w:t>
      </w:r>
      <w:r>
        <w:t xml:space="preserve"> is</w:t>
      </w:r>
      <w:r w:rsidR="00A75B33">
        <w:t xml:space="preserve"> reported as</w:t>
      </w:r>
      <w:r>
        <w:t xml:space="preserve"> IE, while all remaining pollutants are</w:t>
      </w:r>
      <w:r w:rsidR="00A75B33">
        <w:t xml:space="preserve"> reported as</w:t>
      </w:r>
      <w:r>
        <w:t xml:space="preserve"> NE, apart from HCB and PCBs which are</w:t>
      </w:r>
      <w:r w:rsidR="00A75B33">
        <w:t xml:space="preserve"> reported as</w:t>
      </w:r>
      <w:r>
        <w:t xml:space="preserve"> NA. Nevertheless, there is no methodological </w:t>
      </w:r>
      <w:r w:rsidR="00A75B33">
        <w:t>description,</w:t>
      </w:r>
      <w:r>
        <w:t xml:space="preserve"> or any other information related to 1A3d. The only additional item related to 1A3di(ii) and 1A3dii is in chapter 11 Annex – NFR Tables (p. </w:t>
      </w:r>
      <w:r>
        <w:lastRenderedPageBreak/>
        <w:t>400-411) for years 2019, 2005, 1990, which present inconsistencies with Table 1.26. Looking at the NFR tables for the whole time series 1990-2019, NO</w:t>
      </w:r>
      <w:r w:rsidRPr="2A9278A2">
        <w:rPr>
          <w:vertAlign w:val="subscript"/>
        </w:rPr>
        <w:t>x</w:t>
      </w:r>
      <w:r>
        <w:t xml:space="preserve"> </w:t>
      </w:r>
      <w:r w:rsidRPr="2A9278A2">
        <w:rPr>
          <w:lang w:val="en-US"/>
        </w:rPr>
        <w:t xml:space="preserve">emissions are provided for </w:t>
      </w:r>
      <w:r w:rsidRPr="2A9278A2">
        <w:rPr>
          <w:lang w:val="el-GR"/>
        </w:rPr>
        <w:t>1A3di(ii)</w:t>
      </w:r>
      <w:r w:rsidRPr="2A9278A2">
        <w:rPr>
          <w:lang w:val="en-US"/>
        </w:rPr>
        <w:t xml:space="preserve"> for years 2001-2007, 2009-2010, and remaining years are </w:t>
      </w:r>
      <w:r w:rsidR="00A75B33">
        <w:rPr>
          <w:lang w:val="en-US"/>
        </w:rPr>
        <w:t xml:space="preserve">reported as </w:t>
      </w:r>
      <w:r w:rsidRPr="2A9278A2">
        <w:rPr>
          <w:lang w:val="en-US"/>
        </w:rPr>
        <w:t xml:space="preserve">IE. For </w:t>
      </w:r>
      <w:r>
        <w:t>1A3dii, NO</w:t>
      </w:r>
      <w:r w:rsidRPr="2A9278A2">
        <w:rPr>
          <w:vertAlign w:val="subscript"/>
        </w:rPr>
        <w:t>x</w:t>
      </w:r>
      <w:r>
        <w:t xml:space="preserve"> emissions are provided for the period 1990-2016, while </w:t>
      </w:r>
      <w:r w:rsidR="00A75B33">
        <w:t xml:space="preserve">IE is reported for </w:t>
      </w:r>
      <w:r>
        <w:t xml:space="preserve">years 2017-2019. Various inconsistencies among Table 1.26 and NFR Tables also exist for other pollutants. However, due to lack of relevant information in the IIR, no further assessment can be made. In response to a question </w:t>
      </w:r>
      <w:r w:rsidR="00A75B33">
        <w:t>raised during the review</w:t>
      </w:r>
      <w:r>
        <w:t>, Montenegro answered that Tier 1 emission factors from the Guidebook have been used for 1A3d and that inconsistencies in emissions are due to inconsistencies of the national energy balance (i.e. activity data). In addition, the Party answered that the emissions from 1A3d will be completely revised and relevant description will be included in the IIR.</w:t>
      </w:r>
    </w:p>
    <w:p w14:paraId="030E7EF6" w14:textId="77777777" w:rsidR="002778EB" w:rsidRPr="00EB2D17" w:rsidRDefault="2A9278A2" w:rsidP="007F5740">
      <w:pPr>
        <w:pStyle w:val="RegPara"/>
      </w:pPr>
      <w:r>
        <w:t>The ERT welcomes this plan and recommends that Montenegro provides the methodological description of 1A3d emission calculations in the IIR and eliminates the inconsistencies of the national energy balance (i.e. activity data) and inconsistencies between IIR and NFR.</w:t>
      </w:r>
    </w:p>
    <w:p w14:paraId="5E295EEF" w14:textId="5195EBCC" w:rsidR="002778EB" w:rsidRPr="00EB2D17" w:rsidRDefault="002778EB" w:rsidP="00632720">
      <w:pPr>
        <w:pStyle w:val="berschrift5"/>
      </w:pPr>
      <w:r w:rsidRPr="00EB2D17">
        <w:t xml:space="preserve">Category issue </w:t>
      </w:r>
      <w:r>
        <w:t>11</w:t>
      </w:r>
      <w:r w:rsidRPr="00EB2D17">
        <w:t xml:space="preserve">: </w:t>
      </w:r>
      <w:bookmarkStart w:id="42" w:name="_Hlk71550793"/>
      <w:r w:rsidRPr="006D6063">
        <w:t>1A3dii</w:t>
      </w:r>
      <w:bookmarkEnd w:id="42"/>
      <w:r>
        <w:t xml:space="preserve"> – </w:t>
      </w:r>
      <w:r>
        <w:rPr>
          <w:lang w:val="en-US"/>
        </w:rPr>
        <w:t>NMVOC</w:t>
      </w:r>
      <w:r w:rsidRPr="006D6063">
        <w:t xml:space="preserve"> time series po</w:t>
      </w:r>
      <w:r w:rsidR="003377C8">
        <w:t>tential</w:t>
      </w:r>
      <w:r w:rsidRPr="006D6063">
        <w:t xml:space="preserve"> inconsistency</w:t>
      </w:r>
    </w:p>
    <w:p w14:paraId="742BE02C" w14:textId="1EC72897" w:rsidR="002778EB" w:rsidRPr="00EB2D17" w:rsidRDefault="2A9278A2" w:rsidP="007F5740">
      <w:pPr>
        <w:pStyle w:val="RegPara"/>
      </w:pPr>
      <w:r>
        <w:t xml:space="preserve">The ERT noticed in the NFR tables a possible inconsistency in the NMVOC time series of National navigation (shipping) (1A3dii), i.e. a significant jump in 2011 and 2012, which cannot be associated with activity data. However, no relevant explanation could be identified in the IIR. In response to a question </w:t>
      </w:r>
      <w:r w:rsidR="00C84633">
        <w:t>raised during the review</w:t>
      </w:r>
      <w:r>
        <w:t xml:space="preserve">, Montenegro answered that this is due to the activity data provided by the national energy balance and, specifically, a jump of motor gasoline fuel in these years. </w:t>
      </w:r>
    </w:p>
    <w:p w14:paraId="5243F7A9" w14:textId="3AD7782C" w:rsidR="002778EB" w:rsidRPr="00EB2D17" w:rsidRDefault="2A9278A2" w:rsidP="007F5740">
      <w:pPr>
        <w:pStyle w:val="RegPara"/>
      </w:pPr>
      <w:r>
        <w:t xml:space="preserve">Combined with </w:t>
      </w:r>
      <w:r w:rsidR="00C84633">
        <w:t xml:space="preserve">the </w:t>
      </w:r>
      <w:r>
        <w:t xml:space="preserve">category issue 10 above, the ERT welcomes the plan of Montenegro to revise all emission estimates from 1A3d and recommends that the Party provides the methodological description of 1A3d emission calculations in the IIR and eliminates the inconsistencies </w:t>
      </w:r>
      <w:r w:rsidR="00C84633">
        <w:t xml:space="preserve">in </w:t>
      </w:r>
      <w:r>
        <w:t>the national energy balance (i.e. activity data).</w:t>
      </w:r>
    </w:p>
    <w:p w14:paraId="1480FC05" w14:textId="5A5EC4FE" w:rsidR="002778EB" w:rsidRPr="00EB2D17" w:rsidRDefault="2A9278A2" w:rsidP="00632720">
      <w:pPr>
        <w:pStyle w:val="berschrift5"/>
      </w:pPr>
      <w:r>
        <w:t xml:space="preserve">Category issue 12: </w:t>
      </w:r>
      <w:r w:rsidR="003377C8">
        <w:t>1A4cii – CO time series potential</w:t>
      </w:r>
      <w:r>
        <w:t xml:space="preserve"> inconsistency</w:t>
      </w:r>
    </w:p>
    <w:p w14:paraId="3350F554" w14:textId="77777777" w:rsidR="002778EB" w:rsidRPr="00EB2D17" w:rsidRDefault="2A9278A2" w:rsidP="007F5740">
      <w:pPr>
        <w:pStyle w:val="RegPara"/>
      </w:pPr>
      <w:r>
        <w:t>The ERT noticed in the IIR (p. 281) a possible inconsistency in the CO time series of Agriculture/Forestry/Fishing: Off-road vehicles and other machinery (1A4cii), i.e. a significant jump in 2000 and 2011, which cannot be associated with activity data. However, no relevant explanation could be identified in the IIR. In response to a question on the issue, Montenegro answered that this is due to the activity data provided by the national energy balance and, specifically, a jump of motor gasoline fuel in these years. The ERT confirms.</w:t>
      </w:r>
    </w:p>
    <w:p w14:paraId="43E0631E" w14:textId="77777777" w:rsidR="002778EB" w:rsidRPr="00EB2D17" w:rsidRDefault="2A9278A2" w:rsidP="007F5740">
      <w:pPr>
        <w:pStyle w:val="RegPara"/>
      </w:pPr>
      <w:r>
        <w:t>The ERT recommends that Montenegro eliminates the inconsistencies of the national energy balance (i.e. activity data) and, in any case, provide relevant explanations in the IIR.</w:t>
      </w:r>
    </w:p>
    <w:p w14:paraId="12475A4E" w14:textId="77777777" w:rsidR="002778EB" w:rsidRPr="00EB2D17" w:rsidRDefault="2A9278A2" w:rsidP="00632720">
      <w:pPr>
        <w:pStyle w:val="berschrift5"/>
      </w:pPr>
      <w:r>
        <w:t>Category issue 13: 1A2gvii, 1A4aii, 1A4bii, 1A4ciii – All pollutants IE</w:t>
      </w:r>
    </w:p>
    <w:p w14:paraId="56602519" w14:textId="106CDF3F" w:rsidR="002778EB" w:rsidRPr="00EB2D17" w:rsidRDefault="2A9278A2" w:rsidP="007F5740">
      <w:pPr>
        <w:pStyle w:val="RegPara"/>
      </w:pPr>
      <w:r>
        <w:t xml:space="preserve">The ERT noticed in the IIR (pp. 68-69, 215, </w:t>
      </w:r>
      <w:r w:rsidRPr="2A9278A2">
        <w:rPr>
          <w:lang w:val="el-GR"/>
        </w:rPr>
        <w:t>2</w:t>
      </w:r>
      <w:r w:rsidRPr="2A9278A2">
        <w:rPr>
          <w:lang w:val="en-US"/>
        </w:rPr>
        <w:t>54</w:t>
      </w:r>
      <w:r w:rsidRPr="2A9278A2">
        <w:rPr>
          <w:lang w:val="el-GR"/>
        </w:rPr>
        <w:t xml:space="preserve">, </w:t>
      </w:r>
      <w:r>
        <w:t>268, 281) and in the NFR that all pollutant emissions from Mobile Combustion in manufacturing industries and construction (1A2gvii) are</w:t>
      </w:r>
      <w:r w:rsidR="00837AAD">
        <w:t xml:space="preserve"> reported as</w:t>
      </w:r>
      <w:r>
        <w:t xml:space="preserve"> IE, included in Stationary Combustion in manufacturing industries and construction (1A2gviii); and all pollutant emissions from </w:t>
      </w:r>
      <w:r>
        <w:lastRenderedPageBreak/>
        <w:t xml:space="preserve">Commercial/Institutional: Mobile </w:t>
      </w:r>
      <w:r w:rsidRPr="2A9278A2">
        <w:rPr>
          <w:lang w:val="el-GR"/>
        </w:rPr>
        <w:t>(</w:t>
      </w:r>
      <w:r>
        <w:t>1A4aii</w:t>
      </w:r>
      <w:r w:rsidRPr="2A9278A2">
        <w:rPr>
          <w:lang w:val="el-GR"/>
        </w:rPr>
        <w:t>)</w:t>
      </w:r>
      <w:r w:rsidRPr="2A9278A2">
        <w:rPr>
          <w:lang w:val="en-US"/>
        </w:rPr>
        <w:t xml:space="preserve">, </w:t>
      </w:r>
      <w:r>
        <w:t xml:space="preserve">Residential: Household and gardening (mobile) (1A4bii), and Agriculture/Forestry/Fishing: National fishing (1A4ciii) are </w:t>
      </w:r>
      <w:r w:rsidR="00837AAD">
        <w:t xml:space="preserve">reported as </w:t>
      </w:r>
      <w:r>
        <w:t>IE, included in Agriculture/Forestry/Fishing: Off-road vehicles and other machinery (1A4cii). The ERT acknowledges that the contribution of these sub-sectors to the national total is small and understands the possible difficulties in obtaining the relevant statistical activity data. However, this issue affects the quality and comparability of the inventory since the emissions of these sub-sectors are not reported separately according to the NFR format.</w:t>
      </w:r>
    </w:p>
    <w:p w14:paraId="417C03DA" w14:textId="77777777" w:rsidR="002778EB" w:rsidRPr="00EB2D17" w:rsidRDefault="2A9278A2" w:rsidP="007F5740">
      <w:pPr>
        <w:pStyle w:val="RegPara"/>
      </w:pPr>
      <w:r>
        <w:t>The ERT encourages Montenegro to provide emission estimates separately for 1A2gvii, 1A4aii, 1A4bii, and 1A4ciii, as already mentioned in the improvement plan of the relevant sub-sectors, by obtaining or estimating the activity data which are needed, in order to improve the quality and comparability of the inventory.</w:t>
      </w:r>
    </w:p>
    <w:p w14:paraId="4DAC9EE2" w14:textId="77777777" w:rsidR="002778EB" w:rsidRPr="00EB2D17" w:rsidRDefault="2A9278A2" w:rsidP="00632720">
      <w:pPr>
        <w:pStyle w:val="berschrift5"/>
      </w:pPr>
      <w:r>
        <w:t>Category issue 14: 1A5b, 1A3di(i)  – All pollutants NE</w:t>
      </w:r>
    </w:p>
    <w:p w14:paraId="72581206" w14:textId="6DCDC160" w:rsidR="002778EB" w:rsidRPr="00EB2D17" w:rsidRDefault="2A9278A2" w:rsidP="007F5740">
      <w:pPr>
        <w:pStyle w:val="RegPara"/>
      </w:pPr>
      <w:r>
        <w:t xml:space="preserve">The ERT noticed in the IIR and NFR that all pollutant emissions from Other, Mobile (including military, land based and recreational boats) (1A5b) and International maritime navigation (1A3di(i)) are </w:t>
      </w:r>
      <w:r w:rsidR="00E216B2">
        <w:t xml:space="preserve">reported as </w:t>
      </w:r>
      <w:r>
        <w:t>NE. For 1A5b, it is mentioned in the IIR (p. 292) that the national energy statistics do not provide information regarding the use of fuels in this sub-category. For 1A3di(i), there is no description. This issue has an impact on the completeness and comparability of the inventory</w:t>
      </w:r>
      <w:r w:rsidR="00E216B2">
        <w:t xml:space="preserve"> </w:t>
      </w:r>
      <w:r>
        <w:t xml:space="preserve">since emissions from 1A5b and 1A3di(i) are not provided. In response to a question </w:t>
      </w:r>
      <w:r w:rsidR="00E216B2">
        <w:t>raided during the review</w:t>
      </w:r>
      <w:r>
        <w:t>, Montenegro answered that there is an ongoing investigation related to activity performed by these sub-sectors.</w:t>
      </w:r>
    </w:p>
    <w:p w14:paraId="37B86CC9" w14:textId="0980670E" w:rsidR="002778EB" w:rsidRPr="00EB2D17" w:rsidRDefault="2A9278A2" w:rsidP="007F5740">
      <w:pPr>
        <w:pStyle w:val="RegPara"/>
      </w:pPr>
      <w:r>
        <w:t>The ERT recommends that Montenegro provides emission estimates for 1A5b and 1A3di(i), by obtaining or estimating the activity data which are needed, to improve the completeness and comparability of the inventory. Otherwise, if emissions from these sub-categories do not occur, the notation key should change to NO, or if they are included elsewhere, the notation key should change to IE and relevant explanation be provided in the IIR.</w:t>
      </w:r>
    </w:p>
    <w:p w14:paraId="50536075" w14:textId="77777777" w:rsidR="00945281" w:rsidRDefault="00945281" w:rsidP="2A9278A2">
      <w:pPr>
        <w:pStyle w:val="berschrift2"/>
        <w:rPr>
          <w:rFonts w:eastAsia="MS Mincho"/>
        </w:rPr>
      </w:pPr>
      <w:r>
        <w:rPr>
          <w:rFonts w:eastAsia="MS Mincho"/>
        </w:rPr>
        <w:br w:type="page"/>
      </w:r>
      <w:bookmarkStart w:id="43" w:name="_Toc79490434"/>
      <w:r>
        <w:rPr>
          <w:rFonts w:eastAsia="MS Mincho"/>
        </w:rPr>
        <w:lastRenderedPageBreak/>
        <w:t>Industrial Processes</w:t>
      </w:r>
      <w:bookmarkEnd w:id="43"/>
    </w:p>
    <w:p w14:paraId="29A84292" w14:textId="77777777" w:rsidR="00773F38" w:rsidRDefault="2A9278A2" w:rsidP="00056DF4">
      <w:pPr>
        <w:pStyle w:val="berschrift4"/>
      </w:pPr>
      <w:r>
        <w:t>Review Scope</w:t>
      </w:r>
    </w:p>
    <w:tbl>
      <w:tblPr>
        <w:tblW w:w="8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8"/>
        <w:gridCol w:w="3402"/>
        <w:gridCol w:w="1134"/>
        <w:gridCol w:w="1134"/>
        <w:gridCol w:w="1843"/>
      </w:tblGrid>
      <w:tr w:rsidR="00773F38" w:rsidRPr="00274C5E" w14:paraId="72B837ED" w14:textId="77777777" w:rsidTr="2A9278A2">
        <w:tc>
          <w:tcPr>
            <w:tcW w:w="4400" w:type="dxa"/>
            <w:gridSpan w:val="2"/>
            <w:shd w:val="clear" w:color="auto" w:fill="CCCCCC"/>
            <w:noWrap/>
            <w:vAlign w:val="center"/>
          </w:tcPr>
          <w:p w14:paraId="370E9B41" w14:textId="77777777" w:rsidR="00773F38" w:rsidRPr="00AC57A7" w:rsidRDefault="2A9278A2" w:rsidP="2A9278A2">
            <w:pPr>
              <w:pStyle w:val="TableText"/>
              <w:rPr>
                <w:b/>
                <w:bCs/>
              </w:rPr>
            </w:pPr>
            <w:r w:rsidRPr="2A9278A2">
              <w:rPr>
                <w:b/>
                <w:bCs/>
              </w:rPr>
              <w:t>Pollutants Reviewed</w:t>
            </w:r>
          </w:p>
        </w:tc>
        <w:tc>
          <w:tcPr>
            <w:tcW w:w="4111" w:type="dxa"/>
            <w:gridSpan w:val="3"/>
            <w:shd w:val="clear" w:color="auto" w:fill="FFFFFF" w:themeFill="background1"/>
            <w:vAlign w:val="center"/>
          </w:tcPr>
          <w:p w14:paraId="4666D9A4" w14:textId="6D639728" w:rsidR="00773F38" w:rsidRPr="002D4DBA" w:rsidRDefault="2A9278A2" w:rsidP="2A9278A2">
            <w:pPr>
              <w:pStyle w:val="TableText"/>
              <w:rPr>
                <w:highlight w:val="yellow"/>
              </w:rPr>
            </w:pPr>
            <w:r>
              <w:t>All pollutants</w:t>
            </w:r>
          </w:p>
        </w:tc>
      </w:tr>
      <w:tr w:rsidR="00773F38" w:rsidRPr="00274C5E" w14:paraId="7C25030A" w14:textId="77777777" w:rsidTr="2A9278A2">
        <w:tc>
          <w:tcPr>
            <w:tcW w:w="4400" w:type="dxa"/>
            <w:gridSpan w:val="2"/>
            <w:shd w:val="clear" w:color="auto" w:fill="CCCCCC"/>
            <w:noWrap/>
            <w:vAlign w:val="center"/>
          </w:tcPr>
          <w:p w14:paraId="204666A7" w14:textId="77777777" w:rsidR="00773F38" w:rsidRPr="00AC57A7" w:rsidRDefault="2A9278A2" w:rsidP="2A9278A2">
            <w:pPr>
              <w:pStyle w:val="TableText"/>
              <w:rPr>
                <w:b/>
                <w:bCs/>
              </w:rPr>
            </w:pPr>
            <w:r w:rsidRPr="2A9278A2">
              <w:rPr>
                <w:b/>
                <w:bCs/>
              </w:rPr>
              <w:t>Years</w:t>
            </w:r>
          </w:p>
        </w:tc>
        <w:tc>
          <w:tcPr>
            <w:tcW w:w="4111" w:type="dxa"/>
            <w:gridSpan w:val="3"/>
            <w:shd w:val="clear" w:color="auto" w:fill="FFFFFF" w:themeFill="background1"/>
            <w:vAlign w:val="center"/>
          </w:tcPr>
          <w:p w14:paraId="47DCC958" w14:textId="158F27C9" w:rsidR="00773F38" w:rsidRPr="002D4DBA" w:rsidRDefault="2A9278A2" w:rsidP="2A9278A2">
            <w:pPr>
              <w:pStyle w:val="TableText"/>
              <w:rPr>
                <w:highlight w:val="yellow"/>
              </w:rPr>
            </w:pPr>
            <w:r>
              <w:t>1990 – 2019</w:t>
            </w:r>
          </w:p>
        </w:tc>
      </w:tr>
      <w:tr w:rsidR="00773F38" w:rsidRPr="00AC57A7" w14:paraId="17EBA995" w14:textId="77777777" w:rsidTr="2A9278A2">
        <w:tc>
          <w:tcPr>
            <w:tcW w:w="998" w:type="dxa"/>
            <w:shd w:val="clear" w:color="auto" w:fill="CCCCCC"/>
            <w:noWrap/>
            <w:vAlign w:val="center"/>
          </w:tcPr>
          <w:p w14:paraId="32F2A12D" w14:textId="77777777" w:rsidR="00773F38" w:rsidRPr="00AC57A7" w:rsidRDefault="2A9278A2" w:rsidP="2A9278A2">
            <w:pPr>
              <w:pStyle w:val="TableText"/>
              <w:jc w:val="center"/>
              <w:rPr>
                <w:rFonts w:eastAsia="Arial Unicode MS"/>
                <w:b/>
                <w:bCs/>
              </w:rPr>
            </w:pPr>
            <w:r w:rsidRPr="2A9278A2">
              <w:rPr>
                <w:b/>
                <w:bCs/>
              </w:rPr>
              <w:t>Code</w:t>
            </w:r>
          </w:p>
        </w:tc>
        <w:tc>
          <w:tcPr>
            <w:tcW w:w="3402" w:type="dxa"/>
            <w:shd w:val="clear" w:color="auto" w:fill="CCCCCC"/>
            <w:vAlign w:val="center"/>
          </w:tcPr>
          <w:p w14:paraId="211E0FA5" w14:textId="77777777" w:rsidR="00773F38" w:rsidRPr="00AC57A7" w:rsidRDefault="2A9278A2" w:rsidP="2A9278A2">
            <w:pPr>
              <w:pStyle w:val="TableText"/>
              <w:jc w:val="center"/>
              <w:rPr>
                <w:b/>
                <w:bCs/>
              </w:rPr>
            </w:pPr>
            <w:r w:rsidRPr="2A9278A2">
              <w:rPr>
                <w:b/>
                <w:bCs/>
              </w:rPr>
              <w:t>Name</w:t>
            </w:r>
          </w:p>
        </w:tc>
        <w:tc>
          <w:tcPr>
            <w:tcW w:w="1134" w:type="dxa"/>
            <w:shd w:val="clear" w:color="auto" w:fill="CCCCCC"/>
            <w:vAlign w:val="center"/>
          </w:tcPr>
          <w:p w14:paraId="194AEDAF" w14:textId="77777777" w:rsidR="00773F38" w:rsidRPr="00AC57A7" w:rsidRDefault="2A9278A2" w:rsidP="2A9278A2">
            <w:pPr>
              <w:pStyle w:val="TableText"/>
              <w:jc w:val="center"/>
              <w:rPr>
                <w:rFonts w:eastAsia="Arial Unicode MS"/>
                <w:b/>
                <w:bCs/>
              </w:rPr>
            </w:pPr>
            <w:r w:rsidRPr="2A9278A2">
              <w:rPr>
                <w:b/>
                <w:bCs/>
              </w:rPr>
              <w:t>Reviewed</w:t>
            </w:r>
          </w:p>
        </w:tc>
        <w:tc>
          <w:tcPr>
            <w:tcW w:w="1134" w:type="dxa"/>
            <w:shd w:val="clear" w:color="auto" w:fill="CCCCCC"/>
            <w:vAlign w:val="center"/>
          </w:tcPr>
          <w:p w14:paraId="6A8D03A6" w14:textId="77777777" w:rsidR="00773F38" w:rsidRPr="00AC57A7" w:rsidRDefault="2A9278A2" w:rsidP="2A9278A2">
            <w:pPr>
              <w:pStyle w:val="TableText"/>
              <w:jc w:val="center"/>
              <w:rPr>
                <w:b/>
                <w:bCs/>
              </w:rPr>
            </w:pPr>
            <w:r w:rsidRPr="2A9278A2">
              <w:rPr>
                <w:b/>
                <w:bCs/>
              </w:rPr>
              <w:t>Not Reviewed</w:t>
            </w:r>
          </w:p>
        </w:tc>
        <w:tc>
          <w:tcPr>
            <w:tcW w:w="1843" w:type="dxa"/>
            <w:shd w:val="clear" w:color="auto" w:fill="CCCCCC"/>
            <w:vAlign w:val="center"/>
          </w:tcPr>
          <w:p w14:paraId="3ED1F689" w14:textId="77777777" w:rsidR="00773F38" w:rsidRPr="00AC57A7" w:rsidRDefault="2A9278A2" w:rsidP="2A9278A2">
            <w:pPr>
              <w:pStyle w:val="TableText"/>
              <w:jc w:val="center"/>
              <w:rPr>
                <w:b/>
                <w:bCs/>
              </w:rPr>
            </w:pPr>
            <w:r w:rsidRPr="2A9278A2">
              <w:rPr>
                <w:b/>
                <w:bCs/>
              </w:rPr>
              <w:t>Recommendation Provided</w:t>
            </w:r>
          </w:p>
        </w:tc>
      </w:tr>
      <w:tr w:rsidR="00773F38" w:rsidRPr="00274C5E" w14:paraId="0FC1B0F2" w14:textId="77777777" w:rsidTr="2A9278A2">
        <w:tc>
          <w:tcPr>
            <w:tcW w:w="998" w:type="dxa"/>
            <w:shd w:val="clear" w:color="auto" w:fill="E0E0E0"/>
            <w:noWrap/>
            <w:vAlign w:val="center"/>
          </w:tcPr>
          <w:p w14:paraId="46D57B5E" w14:textId="77777777" w:rsidR="00773F38" w:rsidRPr="00274C5E" w:rsidRDefault="2A9278A2" w:rsidP="2A9278A2">
            <w:pPr>
              <w:pStyle w:val="TableText"/>
              <w:rPr>
                <w:rFonts w:eastAsia="Arial Unicode MS"/>
              </w:rPr>
            </w:pPr>
            <w:r>
              <w:t>2A1</w:t>
            </w:r>
          </w:p>
        </w:tc>
        <w:tc>
          <w:tcPr>
            <w:tcW w:w="3402" w:type="dxa"/>
            <w:shd w:val="clear" w:color="auto" w:fill="E0E0E0"/>
            <w:vAlign w:val="center"/>
          </w:tcPr>
          <w:p w14:paraId="06EA8E82" w14:textId="77777777" w:rsidR="00773F38" w:rsidRPr="00274C5E" w:rsidRDefault="2A9278A2" w:rsidP="2A9278A2">
            <w:pPr>
              <w:pStyle w:val="TableText"/>
              <w:rPr>
                <w:rFonts w:eastAsia="Arial Unicode MS"/>
              </w:rPr>
            </w:pPr>
            <w:r>
              <w:t>Cement production</w:t>
            </w:r>
          </w:p>
        </w:tc>
        <w:tc>
          <w:tcPr>
            <w:tcW w:w="1134" w:type="dxa"/>
            <w:vAlign w:val="center"/>
          </w:tcPr>
          <w:p w14:paraId="6F69BE08" w14:textId="1E9B1BB8" w:rsidR="00773F38" w:rsidRPr="008921E2" w:rsidRDefault="2A9278A2" w:rsidP="2A9278A2">
            <w:pPr>
              <w:pStyle w:val="TableText"/>
              <w:jc w:val="center"/>
              <w:rPr>
                <w:rFonts w:eastAsia="Arial Unicode MS"/>
              </w:rPr>
            </w:pPr>
            <w:r w:rsidRPr="2A9278A2">
              <w:rPr>
                <w:rFonts w:eastAsia="Arial Unicode MS"/>
              </w:rPr>
              <w:t>NO</w:t>
            </w:r>
          </w:p>
        </w:tc>
        <w:tc>
          <w:tcPr>
            <w:tcW w:w="1134" w:type="dxa"/>
            <w:vAlign w:val="center"/>
          </w:tcPr>
          <w:p w14:paraId="46AC2A93" w14:textId="77777777" w:rsidR="00773F38" w:rsidRPr="008921E2" w:rsidRDefault="00773F38" w:rsidP="008921E2">
            <w:pPr>
              <w:pStyle w:val="TableText"/>
              <w:jc w:val="center"/>
              <w:rPr>
                <w:rFonts w:eastAsia="Arial Unicode MS"/>
              </w:rPr>
            </w:pPr>
          </w:p>
        </w:tc>
        <w:tc>
          <w:tcPr>
            <w:tcW w:w="1843" w:type="dxa"/>
            <w:vAlign w:val="center"/>
          </w:tcPr>
          <w:p w14:paraId="55EA1202" w14:textId="77777777" w:rsidR="00773F38" w:rsidRPr="008921E2" w:rsidRDefault="00773F38" w:rsidP="008921E2">
            <w:pPr>
              <w:pStyle w:val="TableText"/>
              <w:jc w:val="center"/>
              <w:rPr>
                <w:rFonts w:eastAsia="Arial Unicode MS"/>
              </w:rPr>
            </w:pPr>
          </w:p>
        </w:tc>
      </w:tr>
      <w:tr w:rsidR="00773F38" w:rsidRPr="00274C5E" w14:paraId="32364112" w14:textId="77777777" w:rsidTr="2A9278A2">
        <w:tc>
          <w:tcPr>
            <w:tcW w:w="998" w:type="dxa"/>
            <w:shd w:val="clear" w:color="auto" w:fill="E0E0E0"/>
            <w:noWrap/>
            <w:vAlign w:val="center"/>
          </w:tcPr>
          <w:p w14:paraId="14ADDBB4" w14:textId="77777777" w:rsidR="00773F38" w:rsidRPr="00274C5E" w:rsidRDefault="2A9278A2" w:rsidP="00AC57A7">
            <w:pPr>
              <w:pStyle w:val="TableText"/>
            </w:pPr>
            <w:r>
              <w:t>2A2</w:t>
            </w:r>
          </w:p>
        </w:tc>
        <w:tc>
          <w:tcPr>
            <w:tcW w:w="3402" w:type="dxa"/>
            <w:shd w:val="clear" w:color="auto" w:fill="E0E0E0"/>
            <w:vAlign w:val="center"/>
          </w:tcPr>
          <w:p w14:paraId="6CD24D2C" w14:textId="77777777" w:rsidR="00773F38" w:rsidRPr="00274C5E" w:rsidRDefault="2A9278A2" w:rsidP="00AC57A7">
            <w:pPr>
              <w:pStyle w:val="TableText"/>
            </w:pPr>
            <w:r>
              <w:t>Lime production</w:t>
            </w:r>
          </w:p>
        </w:tc>
        <w:tc>
          <w:tcPr>
            <w:tcW w:w="1134" w:type="dxa"/>
            <w:vAlign w:val="center"/>
          </w:tcPr>
          <w:p w14:paraId="5AE78772" w14:textId="0FF5AA2E" w:rsidR="00773F38" w:rsidRPr="008921E2" w:rsidRDefault="2A9278A2" w:rsidP="008921E2">
            <w:pPr>
              <w:pStyle w:val="TableText"/>
              <w:jc w:val="center"/>
            </w:pPr>
            <w:r>
              <w:t>x</w:t>
            </w:r>
          </w:p>
        </w:tc>
        <w:tc>
          <w:tcPr>
            <w:tcW w:w="1134" w:type="dxa"/>
            <w:vAlign w:val="center"/>
          </w:tcPr>
          <w:p w14:paraId="7F4400FE" w14:textId="77777777" w:rsidR="00773F38" w:rsidRPr="008921E2" w:rsidRDefault="00773F38" w:rsidP="008921E2">
            <w:pPr>
              <w:pStyle w:val="TableText"/>
              <w:jc w:val="center"/>
            </w:pPr>
          </w:p>
        </w:tc>
        <w:tc>
          <w:tcPr>
            <w:tcW w:w="1843" w:type="dxa"/>
            <w:vAlign w:val="center"/>
          </w:tcPr>
          <w:p w14:paraId="6EE715A5" w14:textId="6533DC77" w:rsidR="00773F38" w:rsidRPr="008921E2" w:rsidRDefault="2A9278A2" w:rsidP="008921E2">
            <w:pPr>
              <w:pStyle w:val="TableText"/>
              <w:jc w:val="center"/>
            </w:pPr>
            <w:r>
              <w:t>x</w:t>
            </w:r>
          </w:p>
        </w:tc>
      </w:tr>
      <w:tr w:rsidR="00773F38" w:rsidRPr="00274C5E" w14:paraId="0B9A0C18" w14:textId="77777777" w:rsidTr="2A9278A2">
        <w:tc>
          <w:tcPr>
            <w:tcW w:w="998" w:type="dxa"/>
            <w:shd w:val="clear" w:color="auto" w:fill="E0E0E0"/>
            <w:noWrap/>
            <w:vAlign w:val="center"/>
          </w:tcPr>
          <w:p w14:paraId="666B1931" w14:textId="77777777" w:rsidR="00773F38" w:rsidRPr="00274C5E" w:rsidRDefault="2A9278A2" w:rsidP="00AC57A7">
            <w:pPr>
              <w:pStyle w:val="TableText"/>
            </w:pPr>
            <w:r>
              <w:t>2A3</w:t>
            </w:r>
          </w:p>
        </w:tc>
        <w:tc>
          <w:tcPr>
            <w:tcW w:w="3402" w:type="dxa"/>
            <w:shd w:val="clear" w:color="auto" w:fill="E0E0E0"/>
            <w:vAlign w:val="center"/>
          </w:tcPr>
          <w:p w14:paraId="35B25BD8" w14:textId="77777777" w:rsidR="00773F38" w:rsidRPr="00274C5E" w:rsidRDefault="2A9278A2" w:rsidP="00AC57A7">
            <w:pPr>
              <w:pStyle w:val="TableText"/>
            </w:pPr>
            <w:r>
              <w:t>Glass production</w:t>
            </w:r>
          </w:p>
        </w:tc>
        <w:tc>
          <w:tcPr>
            <w:tcW w:w="1134" w:type="dxa"/>
            <w:vAlign w:val="center"/>
          </w:tcPr>
          <w:p w14:paraId="167A4EA7" w14:textId="735B736E" w:rsidR="00773F38" w:rsidRPr="008921E2" w:rsidRDefault="2A9278A2" w:rsidP="008921E2">
            <w:pPr>
              <w:pStyle w:val="TableText"/>
              <w:jc w:val="center"/>
            </w:pPr>
            <w:r>
              <w:t>NO</w:t>
            </w:r>
          </w:p>
        </w:tc>
        <w:tc>
          <w:tcPr>
            <w:tcW w:w="1134" w:type="dxa"/>
            <w:vAlign w:val="center"/>
          </w:tcPr>
          <w:p w14:paraId="6D2826B2" w14:textId="77777777" w:rsidR="00773F38" w:rsidRPr="008921E2" w:rsidRDefault="00773F38" w:rsidP="008921E2">
            <w:pPr>
              <w:pStyle w:val="TableText"/>
              <w:jc w:val="center"/>
            </w:pPr>
          </w:p>
        </w:tc>
        <w:tc>
          <w:tcPr>
            <w:tcW w:w="1843" w:type="dxa"/>
            <w:vAlign w:val="center"/>
          </w:tcPr>
          <w:p w14:paraId="38616630" w14:textId="77777777" w:rsidR="00773F38" w:rsidRPr="008921E2" w:rsidRDefault="00773F38" w:rsidP="008921E2">
            <w:pPr>
              <w:pStyle w:val="TableText"/>
              <w:jc w:val="center"/>
            </w:pPr>
          </w:p>
        </w:tc>
      </w:tr>
      <w:tr w:rsidR="00773F38" w:rsidRPr="00274C5E" w14:paraId="1A081526" w14:textId="77777777" w:rsidTr="2A9278A2">
        <w:tc>
          <w:tcPr>
            <w:tcW w:w="998" w:type="dxa"/>
            <w:shd w:val="clear" w:color="auto" w:fill="E0E0E0"/>
            <w:noWrap/>
            <w:vAlign w:val="center"/>
          </w:tcPr>
          <w:p w14:paraId="2FCEA13A" w14:textId="77777777" w:rsidR="00773F38" w:rsidRPr="00274C5E" w:rsidRDefault="2A9278A2" w:rsidP="00AC57A7">
            <w:pPr>
              <w:pStyle w:val="TableText"/>
            </w:pPr>
            <w:r>
              <w:t>2A5a</w:t>
            </w:r>
          </w:p>
        </w:tc>
        <w:tc>
          <w:tcPr>
            <w:tcW w:w="3402" w:type="dxa"/>
            <w:shd w:val="clear" w:color="auto" w:fill="E0E0E0"/>
            <w:vAlign w:val="center"/>
          </w:tcPr>
          <w:p w14:paraId="250C03DD" w14:textId="77777777" w:rsidR="00773F38" w:rsidRPr="00274C5E" w:rsidRDefault="2A9278A2" w:rsidP="00AC57A7">
            <w:pPr>
              <w:pStyle w:val="TableText"/>
            </w:pPr>
            <w:r>
              <w:t>Quarrying and mining of minerals other than coal</w:t>
            </w:r>
          </w:p>
        </w:tc>
        <w:tc>
          <w:tcPr>
            <w:tcW w:w="1134" w:type="dxa"/>
            <w:vAlign w:val="center"/>
          </w:tcPr>
          <w:p w14:paraId="58FD0E4C" w14:textId="089249D6" w:rsidR="00773F38" w:rsidRPr="008921E2" w:rsidRDefault="2A9278A2" w:rsidP="008921E2">
            <w:pPr>
              <w:pStyle w:val="TableText"/>
              <w:jc w:val="center"/>
            </w:pPr>
            <w:r>
              <w:t>x</w:t>
            </w:r>
          </w:p>
        </w:tc>
        <w:tc>
          <w:tcPr>
            <w:tcW w:w="1134" w:type="dxa"/>
            <w:vAlign w:val="center"/>
          </w:tcPr>
          <w:p w14:paraId="7F1A71B7" w14:textId="77777777" w:rsidR="00773F38" w:rsidRPr="008921E2" w:rsidRDefault="00773F38" w:rsidP="008921E2">
            <w:pPr>
              <w:pStyle w:val="TableText"/>
              <w:jc w:val="center"/>
            </w:pPr>
          </w:p>
        </w:tc>
        <w:tc>
          <w:tcPr>
            <w:tcW w:w="1843" w:type="dxa"/>
            <w:vAlign w:val="center"/>
          </w:tcPr>
          <w:p w14:paraId="34898034" w14:textId="5943B08E" w:rsidR="00773F38" w:rsidRPr="008921E2" w:rsidRDefault="2A9278A2" w:rsidP="008921E2">
            <w:pPr>
              <w:pStyle w:val="TableText"/>
              <w:jc w:val="center"/>
            </w:pPr>
            <w:r>
              <w:t>x</w:t>
            </w:r>
          </w:p>
        </w:tc>
      </w:tr>
      <w:tr w:rsidR="00773F38" w:rsidRPr="00274C5E" w14:paraId="6CC16E61" w14:textId="77777777" w:rsidTr="2A9278A2">
        <w:tc>
          <w:tcPr>
            <w:tcW w:w="998" w:type="dxa"/>
            <w:shd w:val="clear" w:color="auto" w:fill="E0E0E0"/>
            <w:noWrap/>
            <w:vAlign w:val="center"/>
          </w:tcPr>
          <w:p w14:paraId="43200681" w14:textId="77777777" w:rsidR="00773F38" w:rsidRPr="00274C5E" w:rsidRDefault="2A9278A2" w:rsidP="00AC57A7">
            <w:pPr>
              <w:pStyle w:val="TableText"/>
            </w:pPr>
            <w:r>
              <w:t>2A5b</w:t>
            </w:r>
          </w:p>
        </w:tc>
        <w:tc>
          <w:tcPr>
            <w:tcW w:w="3402" w:type="dxa"/>
            <w:shd w:val="clear" w:color="auto" w:fill="E0E0E0"/>
            <w:vAlign w:val="center"/>
          </w:tcPr>
          <w:p w14:paraId="3EA66971" w14:textId="77777777" w:rsidR="00773F38" w:rsidRPr="00274C5E" w:rsidRDefault="2A9278A2" w:rsidP="00AC57A7">
            <w:pPr>
              <w:pStyle w:val="TableText"/>
            </w:pPr>
            <w:r>
              <w:t>Construction and demolition</w:t>
            </w:r>
          </w:p>
        </w:tc>
        <w:tc>
          <w:tcPr>
            <w:tcW w:w="1134" w:type="dxa"/>
            <w:vAlign w:val="center"/>
          </w:tcPr>
          <w:p w14:paraId="1127E115" w14:textId="6EF1DE8E" w:rsidR="00773F38" w:rsidRPr="008921E2" w:rsidRDefault="2A9278A2" w:rsidP="008921E2">
            <w:pPr>
              <w:pStyle w:val="TableText"/>
              <w:jc w:val="center"/>
            </w:pPr>
            <w:r>
              <w:t>x</w:t>
            </w:r>
          </w:p>
        </w:tc>
        <w:tc>
          <w:tcPr>
            <w:tcW w:w="1134" w:type="dxa"/>
            <w:vAlign w:val="center"/>
          </w:tcPr>
          <w:p w14:paraId="41F28B9D" w14:textId="77777777" w:rsidR="00773F38" w:rsidRPr="008921E2" w:rsidRDefault="00773F38" w:rsidP="008921E2">
            <w:pPr>
              <w:pStyle w:val="TableText"/>
              <w:jc w:val="center"/>
            </w:pPr>
          </w:p>
        </w:tc>
        <w:tc>
          <w:tcPr>
            <w:tcW w:w="1843" w:type="dxa"/>
            <w:vAlign w:val="center"/>
          </w:tcPr>
          <w:p w14:paraId="10E2ED97" w14:textId="77777777" w:rsidR="00773F38" w:rsidRPr="008921E2" w:rsidRDefault="00773F38" w:rsidP="008921E2">
            <w:pPr>
              <w:pStyle w:val="TableText"/>
              <w:jc w:val="center"/>
            </w:pPr>
          </w:p>
        </w:tc>
      </w:tr>
      <w:tr w:rsidR="00773F38" w:rsidRPr="00274C5E" w14:paraId="37D747B6" w14:textId="77777777" w:rsidTr="2A9278A2">
        <w:tc>
          <w:tcPr>
            <w:tcW w:w="998" w:type="dxa"/>
            <w:shd w:val="clear" w:color="auto" w:fill="E0E0E0"/>
            <w:noWrap/>
            <w:vAlign w:val="center"/>
          </w:tcPr>
          <w:p w14:paraId="53B465BD" w14:textId="77777777" w:rsidR="00773F38" w:rsidRPr="00274C5E" w:rsidRDefault="2A9278A2" w:rsidP="00AC57A7">
            <w:pPr>
              <w:pStyle w:val="TableText"/>
            </w:pPr>
            <w:r>
              <w:t>2A5c</w:t>
            </w:r>
          </w:p>
        </w:tc>
        <w:tc>
          <w:tcPr>
            <w:tcW w:w="3402" w:type="dxa"/>
            <w:shd w:val="clear" w:color="auto" w:fill="E0E0E0"/>
            <w:vAlign w:val="center"/>
          </w:tcPr>
          <w:p w14:paraId="4AAFF015" w14:textId="77777777" w:rsidR="00773F38" w:rsidRPr="00274C5E" w:rsidRDefault="2A9278A2" w:rsidP="00AC57A7">
            <w:pPr>
              <w:pStyle w:val="TableText"/>
            </w:pPr>
            <w:r>
              <w:t>Storage, handling and transport of mineral products</w:t>
            </w:r>
          </w:p>
        </w:tc>
        <w:tc>
          <w:tcPr>
            <w:tcW w:w="1134" w:type="dxa"/>
            <w:vAlign w:val="center"/>
          </w:tcPr>
          <w:p w14:paraId="5A9A2919" w14:textId="5A116218" w:rsidR="00773F38" w:rsidRPr="008921E2" w:rsidRDefault="2A9278A2" w:rsidP="008921E2">
            <w:pPr>
              <w:pStyle w:val="TableText"/>
              <w:jc w:val="center"/>
            </w:pPr>
            <w:r>
              <w:t>NE</w:t>
            </w:r>
          </w:p>
        </w:tc>
        <w:tc>
          <w:tcPr>
            <w:tcW w:w="1134" w:type="dxa"/>
            <w:vAlign w:val="center"/>
          </w:tcPr>
          <w:p w14:paraId="67278B42" w14:textId="299C825E" w:rsidR="00773F38" w:rsidRPr="008921E2" w:rsidRDefault="2A9278A2" w:rsidP="008921E2">
            <w:pPr>
              <w:pStyle w:val="TableText"/>
              <w:jc w:val="center"/>
            </w:pPr>
            <w:r>
              <w:t>x</w:t>
            </w:r>
          </w:p>
        </w:tc>
        <w:tc>
          <w:tcPr>
            <w:tcW w:w="1843" w:type="dxa"/>
            <w:vAlign w:val="center"/>
          </w:tcPr>
          <w:p w14:paraId="73164162" w14:textId="77777777" w:rsidR="00773F38" w:rsidRPr="008921E2" w:rsidRDefault="00773F38" w:rsidP="008921E2">
            <w:pPr>
              <w:pStyle w:val="TableText"/>
              <w:jc w:val="center"/>
            </w:pPr>
          </w:p>
        </w:tc>
      </w:tr>
      <w:tr w:rsidR="00773F38" w:rsidRPr="00274C5E" w14:paraId="342A20C4" w14:textId="77777777" w:rsidTr="2A9278A2">
        <w:tc>
          <w:tcPr>
            <w:tcW w:w="998" w:type="dxa"/>
            <w:shd w:val="clear" w:color="auto" w:fill="E0E0E0"/>
            <w:noWrap/>
            <w:vAlign w:val="center"/>
          </w:tcPr>
          <w:p w14:paraId="58E6D560" w14:textId="77777777" w:rsidR="00773F38" w:rsidRPr="00274C5E" w:rsidRDefault="2A9278A2" w:rsidP="00AC57A7">
            <w:pPr>
              <w:pStyle w:val="TableText"/>
            </w:pPr>
            <w:r>
              <w:t>2A6</w:t>
            </w:r>
          </w:p>
        </w:tc>
        <w:tc>
          <w:tcPr>
            <w:tcW w:w="3402" w:type="dxa"/>
            <w:shd w:val="clear" w:color="auto" w:fill="E0E0E0"/>
            <w:vAlign w:val="center"/>
          </w:tcPr>
          <w:p w14:paraId="2A94AFEC" w14:textId="77777777" w:rsidR="00773F38" w:rsidRPr="00274C5E" w:rsidRDefault="2A9278A2" w:rsidP="00EF0DEB">
            <w:pPr>
              <w:pStyle w:val="TableText"/>
            </w:pPr>
            <w:r>
              <w:t>Other mineral products</w:t>
            </w:r>
          </w:p>
        </w:tc>
        <w:tc>
          <w:tcPr>
            <w:tcW w:w="1134" w:type="dxa"/>
            <w:vAlign w:val="center"/>
          </w:tcPr>
          <w:p w14:paraId="252DC7BA" w14:textId="047119B9" w:rsidR="00773F38" w:rsidRPr="008921E2" w:rsidRDefault="2A9278A2" w:rsidP="008921E2">
            <w:pPr>
              <w:pStyle w:val="TableText"/>
              <w:jc w:val="center"/>
            </w:pPr>
            <w:r>
              <w:t>NO</w:t>
            </w:r>
          </w:p>
        </w:tc>
        <w:tc>
          <w:tcPr>
            <w:tcW w:w="1134" w:type="dxa"/>
            <w:vAlign w:val="center"/>
          </w:tcPr>
          <w:p w14:paraId="6853FFFD" w14:textId="77777777" w:rsidR="00773F38" w:rsidRPr="008921E2" w:rsidRDefault="00773F38" w:rsidP="008921E2">
            <w:pPr>
              <w:pStyle w:val="TableText"/>
              <w:jc w:val="center"/>
            </w:pPr>
          </w:p>
        </w:tc>
        <w:tc>
          <w:tcPr>
            <w:tcW w:w="1843" w:type="dxa"/>
            <w:vAlign w:val="center"/>
          </w:tcPr>
          <w:p w14:paraId="79906972" w14:textId="77777777" w:rsidR="00773F38" w:rsidRPr="008921E2" w:rsidRDefault="00773F38" w:rsidP="008921E2">
            <w:pPr>
              <w:pStyle w:val="TableText"/>
              <w:jc w:val="center"/>
            </w:pPr>
          </w:p>
        </w:tc>
      </w:tr>
      <w:tr w:rsidR="00773F38" w:rsidRPr="00274C5E" w14:paraId="217EB234" w14:textId="77777777" w:rsidTr="2A9278A2">
        <w:tc>
          <w:tcPr>
            <w:tcW w:w="998" w:type="dxa"/>
            <w:shd w:val="clear" w:color="auto" w:fill="E0E0E0"/>
            <w:noWrap/>
            <w:vAlign w:val="center"/>
          </w:tcPr>
          <w:p w14:paraId="4F37DDD6" w14:textId="77777777" w:rsidR="00773F38" w:rsidRPr="00274C5E" w:rsidRDefault="2A9278A2" w:rsidP="00AC57A7">
            <w:pPr>
              <w:pStyle w:val="TableText"/>
            </w:pPr>
            <w:r>
              <w:t>2B1</w:t>
            </w:r>
          </w:p>
        </w:tc>
        <w:tc>
          <w:tcPr>
            <w:tcW w:w="3402" w:type="dxa"/>
            <w:shd w:val="clear" w:color="auto" w:fill="E0E0E0"/>
            <w:vAlign w:val="center"/>
          </w:tcPr>
          <w:p w14:paraId="2D464464" w14:textId="77777777" w:rsidR="00773F38" w:rsidRPr="00274C5E" w:rsidRDefault="2A9278A2" w:rsidP="00AC57A7">
            <w:pPr>
              <w:pStyle w:val="TableText"/>
            </w:pPr>
            <w:r>
              <w:t>Ammonia production</w:t>
            </w:r>
          </w:p>
        </w:tc>
        <w:tc>
          <w:tcPr>
            <w:tcW w:w="1134" w:type="dxa"/>
            <w:vAlign w:val="center"/>
          </w:tcPr>
          <w:p w14:paraId="7BBA8E82" w14:textId="429A00A2" w:rsidR="00773F38" w:rsidRPr="008921E2" w:rsidRDefault="2A9278A2" w:rsidP="008921E2">
            <w:pPr>
              <w:pStyle w:val="TableText"/>
              <w:jc w:val="center"/>
            </w:pPr>
            <w:r>
              <w:t>NO</w:t>
            </w:r>
          </w:p>
        </w:tc>
        <w:tc>
          <w:tcPr>
            <w:tcW w:w="1134" w:type="dxa"/>
            <w:vAlign w:val="center"/>
          </w:tcPr>
          <w:p w14:paraId="3EFA1DCB" w14:textId="77777777" w:rsidR="00773F38" w:rsidRPr="008921E2" w:rsidRDefault="00773F38" w:rsidP="008921E2">
            <w:pPr>
              <w:pStyle w:val="TableText"/>
              <w:jc w:val="center"/>
            </w:pPr>
          </w:p>
        </w:tc>
        <w:tc>
          <w:tcPr>
            <w:tcW w:w="1843" w:type="dxa"/>
            <w:vAlign w:val="center"/>
          </w:tcPr>
          <w:p w14:paraId="1C55C54C" w14:textId="77777777" w:rsidR="00773F38" w:rsidRPr="008921E2" w:rsidRDefault="00773F38" w:rsidP="008921E2">
            <w:pPr>
              <w:pStyle w:val="TableText"/>
              <w:jc w:val="center"/>
            </w:pPr>
          </w:p>
        </w:tc>
      </w:tr>
      <w:tr w:rsidR="00773F38" w:rsidRPr="00274C5E" w14:paraId="1D22A740" w14:textId="77777777" w:rsidTr="2A9278A2">
        <w:tc>
          <w:tcPr>
            <w:tcW w:w="998" w:type="dxa"/>
            <w:shd w:val="clear" w:color="auto" w:fill="E0E0E0"/>
            <w:noWrap/>
            <w:vAlign w:val="center"/>
          </w:tcPr>
          <w:p w14:paraId="14873435" w14:textId="77777777" w:rsidR="00773F38" w:rsidRPr="00274C5E" w:rsidRDefault="2A9278A2" w:rsidP="00AC57A7">
            <w:pPr>
              <w:pStyle w:val="TableText"/>
            </w:pPr>
            <w:r>
              <w:t>2B2</w:t>
            </w:r>
          </w:p>
        </w:tc>
        <w:tc>
          <w:tcPr>
            <w:tcW w:w="3402" w:type="dxa"/>
            <w:shd w:val="clear" w:color="auto" w:fill="E0E0E0"/>
            <w:vAlign w:val="center"/>
          </w:tcPr>
          <w:p w14:paraId="21EA9B64" w14:textId="77777777" w:rsidR="00773F38" w:rsidRPr="00274C5E" w:rsidRDefault="2A9278A2" w:rsidP="00AC57A7">
            <w:pPr>
              <w:pStyle w:val="TableText"/>
            </w:pPr>
            <w:r>
              <w:t>Nitric acid production</w:t>
            </w:r>
          </w:p>
        </w:tc>
        <w:tc>
          <w:tcPr>
            <w:tcW w:w="1134" w:type="dxa"/>
            <w:vAlign w:val="center"/>
          </w:tcPr>
          <w:p w14:paraId="4057FF67" w14:textId="5BBBA98C" w:rsidR="00773F38" w:rsidRPr="008921E2" w:rsidRDefault="2A9278A2" w:rsidP="008921E2">
            <w:pPr>
              <w:pStyle w:val="TableText"/>
              <w:jc w:val="center"/>
            </w:pPr>
            <w:r>
              <w:t>NO</w:t>
            </w:r>
          </w:p>
        </w:tc>
        <w:tc>
          <w:tcPr>
            <w:tcW w:w="1134" w:type="dxa"/>
            <w:vAlign w:val="center"/>
          </w:tcPr>
          <w:p w14:paraId="0AEDF57A" w14:textId="77777777" w:rsidR="00773F38" w:rsidRPr="008921E2" w:rsidRDefault="00773F38" w:rsidP="008921E2">
            <w:pPr>
              <w:pStyle w:val="TableText"/>
              <w:jc w:val="center"/>
            </w:pPr>
          </w:p>
        </w:tc>
        <w:tc>
          <w:tcPr>
            <w:tcW w:w="1843" w:type="dxa"/>
            <w:vAlign w:val="center"/>
          </w:tcPr>
          <w:p w14:paraId="65EF01BD" w14:textId="77777777" w:rsidR="00773F38" w:rsidRPr="008921E2" w:rsidRDefault="00773F38" w:rsidP="008921E2">
            <w:pPr>
              <w:pStyle w:val="TableText"/>
              <w:jc w:val="center"/>
            </w:pPr>
          </w:p>
        </w:tc>
      </w:tr>
      <w:tr w:rsidR="00773F38" w:rsidRPr="00274C5E" w14:paraId="62987310" w14:textId="77777777" w:rsidTr="2A9278A2">
        <w:tc>
          <w:tcPr>
            <w:tcW w:w="998" w:type="dxa"/>
            <w:shd w:val="clear" w:color="auto" w:fill="E0E0E0"/>
            <w:noWrap/>
            <w:vAlign w:val="center"/>
          </w:tcPr>
          <w:p w14:paraId="5576F1D4" w14:textId="77777777" w:rsidR="00773F38" w:rsidRPr="00274C5E" w:rsidRDefault="2A9278A2" w:rsidP="00AC57A7">
            <w:pPr>
              <w:pStyle w:val="TableText"/>
            </w:pPr>
            <w:r>
              <w:t>2B3</w:t>
            </w:r>
          </w:p>
        </w:tc>
        <w:tc>
          <w:tcPr>
            <w:tcW w:w="3402" w:type="dxa"/>
            <w:shd w:val="clear" w:color="auto" w:fill="E0E0E0"/>
            <w:vAlign w:val="center"/>
          </w:tcPr>
          <w:p w14:paraId="4F2838F7" w14:textId="77777777" w:rsidR="00773F38" w:rsidRPr="00274C5E" w:rsidRDefault="2A9278A2" w:rsidP="00AC57A7">
            <w:pPr>
              <w:pStyle w:val="TableText"/>
            </w:pPr>
            <w:r>
              <w:t>Adipic acid production</w:t>
            </w:r>
          </w:p>
        </w:tc>
        <w:tc>
          <w:tcPr>
            <w:tcW w:w="1134" w:type="dxa"/>
            <w:vAlign w:val="center"/>
          </w:tcPr>
          <w:p w14:paraId="551E4B99" w14:textId="3A5816B3" w:rsidR="00773F38" w:rsidRPr="008921E2" w:rsidRDefault="2A9278A2" w:rsidP="008921E2">
            <w:pPr>
              <w:pStyle w:val="TableText"/>
              <w:jc w:val="center"/>
            </w:pPr>
            <w:r>
              <w:t>NO</w:t>
            </w:r>
          </w:p>
        </w:tc>
        <w:tc>
          <w:tcPr>
            <w:tcW w:w="1134" w:type="dxa"/>
            <w:vAlign w:val="center"/>
          </w:tcPr>
          <w:p w14:paraId="06470DB1" w14:textId="77777777" w:rsidR="00773F38" w:rsidRPr="008921E2" w:rsidRDefault="00773F38" w:rsidP="008921E2">
            <w:pPr>
              <w:pStyle w:val="TableText"/>
              <w:jc w:val="center"/>
            </w:pPr>
          </w:p>
        </w:tc>
        <w:tc>
          <w:tcPr>
            <w:tcW w:w="1843" w:type="dxa"/>
            <w:vAlign w:val="center"/>
          </w:tcPr>
          <w:p w14:paraId="6EE5025C" w14:textId="77777777" w:rsidR="00773F38" w:rsidRPr="008921E2" w:rsidRDefault="00773F38" w:rsidP="008921E2">
            <w:pPr>
              <w:pStyle w:val="TableText"/>
              <w:jc w:val="center"/>
            </w:pPr>
          </w:p>
        </w:tc>
      </w:tr>
      <w:tr w:rsidR="00773F38" w:rsidRPr="00274C5E" w14:paraId="57F2F070" w14:textId="77777777" w:rsidTr="2A9278A2">
        <w:tc>
          <w:tcPr>
            <w:tcW w:w="998" w:type="dxa"/>
            <w:shd w:val="clear" w:color="auto" w:fill="E0E0E0"/>
            <w:noWrap/>
            <w:vAlign w:val="center"/>
          </w:tcPr>
          <w:p w14:paraId="0D831F88" w14:textId="77777777" w:rsidR="00773F38" w:rsidRPr="00274C5E" w:rsidRDefault="2A9278A2" w:rsidP="00AC57A7">
            <w:pPr>
              <w:pStyle w:val="TableText"/>
            </w:pPr>
            <w:r>
              <w:t>2B5</w:t>
            </w:r>
          </w:p>
        </w:tc>
        <w:tc>
          <w:tcPr>
            <w:tcW w:w="3402" w:type="dxa"/>
            <w:shd w:val="clear" w:color="auto" w:fill="E0E0E0"/>
            <w:vAlign w:val="center"/>
          </w:tcPr>
          <w:p w14:paraId="7A5D5B66" w14:textId="77777777" w:rsidR="00773F38" w:rsidRPr="00274C5E" w:rsidRDefault="2A9278A2" w:rsidP="00AC57A7">
            <w:pPr>
              <w:pStyle w:val="TableText"/>
            </w:pPr>
            <w:r>
              <w:t>Carbide production</w:t>
            </w:r>
          </w:p>
        </w:tc>
        <w:tc>
          <w:tcPr>
            <w:tcW w:w="1134" w:type="dxa"/>
            <w:vAlign w:val="center"/>
          </w:tcPr>
          <w:p w14:paraId="6A8864B1" w14:textId="2DC565D7" w:rsidR="00773F38" w:rsidRPr="008921E2" w:rsidRDefault="2A9278A2" w:rsidP="008921E2">
            <w:pPr>
              <w:pStyle w:val="TableText"/>
              <w:jc w:val="center"/>
            </w:pPr>
            <w:r>
              <w:t>NO</w:t>
            </w:r>
          </w:p>
        </w:tc>
        <w:tc>
          <w:tcPr>
            <w:tcW w:w="1134" w:type="dxa"/>
            <w:vAlign w:val="center"/>
          </w:tcPr>
          <w:p w14:paraId="0D8BD842" w14:textId="77777777" w:rsidR="00773F38" w:rsidRPr="008921E2" w:rsidRDefault="00773F38" w:rsidP="008921E2">
            <w:pPr>
              <w:pStyle w:val="TableText"/>
              <w:jc w:val="center"/>
            </w:pPr>
          </w:p>
        </w:tc>
        <w:tc>
          <w:tcPr>
            <w:tcW w:w="1843" w:type="dxa"/>
            <w:vAlign w:val="center"/>
          </w:tcPr>
          <w:p w14:paraId="48F41C6A" w14:textId="77777777" w:rsidR="00773F38" w:rsidRPr="008921E2" w:rsidRDefault="00773F38" w:rsidP="008921E2">
            <w:pPr>
              <w:pStyle w:val="TableText"/>
              <w:jc w:val="center"/>
            </w:pPr>
          </w:p>
        </w:tc>
      </w:tr>
      <w:tr w:rsidR="0077797C" w:rsidRPr="00274C5E" w14:paraId="2E52199F" w14:textId="77777777" w:rsidTr="2A9278A2">
        <w:tc>
          <w:tcPr>
            <w:tcW w:w="998" w:type="dxa"/>
            <w:shd w:val="clear" w:color="auto" w:fill="E0E0E0"/>
            <w:noWrap/>
            <w:vAlign w:val="center"/>
          </w:tcPr>
          <w:p w14:paraId="1DFEE20A" w14:textId="77777777" w:rsidR="0077797C" w:rsidRPr="00274C5E" w:rsidRDefault="2A9278A2" w:rsidP="00AC57A7">
            <w:pPr>
              <w:pStyle w:val="TableText"/>
            </w:pPr>
            <w:r>
              <w:t>2B6</w:t>
            </w:r>
          </w:p>
        </w:tc>
        <w:tc>
          <w:tcPr>
            <w:tcW w:w="3402" w:type="dxa"/>
            <w:shd w:val="clear" w:color="auto" w:fill="E0E0E0"/>
            <w:vAlign w:val="center"/>
          </w:tcPr>
          <w:p w14:paraId="56325BF1" w14:textId="77777777" w:rsidR="0077797C" w:rsidRPr="00274C5E" w:rsidRDefault="2A9278A2" w:rsidP="00AC57A7">
            <w:pPr>
              <w:pStyle w:val="TableText"/>
            </w:pPr>
            <w:r>
              <w:t>Titanium dioxide production</w:t>
            </w:r>
          </w:p>
        </w:tc>
        <w:tc>
          <w:tcPr>
            <w:tcW w:w="1134" w:type="dxa"/>
            <w:vAlign w:val="center"/>
          </w:tcPr>
          <w:p w14:paraId="64FE233C" w14:textId="01891004" w:rsidR="0077797C" w:rsidRPr="008921E2" w:rsidRDefault="2A9278A2" w:rsidP="008921E2">
            <w:pPr>
              <w:pStyle w:val="TableText"/>
              <w:jc w:val="center"/>
            </w:pPr>
            <w:r>
              <w:t>NO</w:t>
            </w:r>
          </w:p>
        </w:tc>
        <w:tc>
          <w:tcPr>
            <w:tcW w:w="1134" w:type="dxa"/>
            <w:vAlign w:val="center"/>
          </w:tcPr>
          <w:p w14:paraId="049AAA37" w14:textId="77777777" w:rsidR="0077797C" w:rsidRPr="008921E2" w:rsidRDefault="0077797C" w:rsidP="008921E2">
            <w:pPr>
              <w:pStyle w:val="TableText"/>
              <w:jc w:val="center"/>
            </w:pPr>
          </w:p>
        </w:tc>
        <w:tc>
          <w:tcPr>
            <w:tcW w:w="1843" w:type="dxa"/>
            <w:vAlign w:val="center"/>
          </w:tcPr>
          <w:p w14:paraId="3C80A54C" w14:textId="77777777" w:rsidR="0077797C" w:rsidRPr="008921E2" w:rsidRDefault="0077797C" w:rsidP="008921E2">
            <w:pPr>
              <w:pStyle w:val="TableText"/>
              <w:jc w:val="center"/>
            </w:pPr>
          </w:p>
        </w:tc>
      </w:tr>
      <w:tr w:rsidR="0077797C" w:rsidRPr="00274C5E" w14:paraId="14CD568A" w14:textId="77777777" w:rsidTr="2A9278A2">
        <w:tc>
          <w:tcPr>
            <w:tcW w:w="998" w:type="dxa"/>
            <w:shd w:val="clear" w:color="auto" w:fill="E0E0E0"/>
            <w:noWrap/>
            <w:vAlign w:val="center"/>
          </w:tcPr>
          <w:p w14:paraId="1EADA767" w14:textId="77777777" w:rsidR="0077797C" w:rsidRPr="00274C5E" w:rsidRDefault="2A9278A2" w:rsidP="00AC57A7">
            <w:pPr>
              <w:pStyle w:val="TableText"/>
            </w:pPr>
            <w:r>
              <w:t>2B7</w:t>
            </w:r>
          </w:p>
        </w:tc>
        <w:tc>
          <w:tcPr>
            <w:tcW w:w="3402" w:type="dxa"/>
            <w:shd w:val="clear" w:color="auto" w:fill="E0E0E0"/>
            <w:vAlign w:val="center"/>
          </w:tcPr>
          <w:p w14:paraId="06FBEE91" w14:textId="77777777" w:rsidR="0077797C" w:rsidRPr="00274C5E" w:rsidRDefault="2A9278A2" w:rsidP="00AC57A7">
            <w:pPr>
              <w:pStyle w:val="TableText"/>
            </w:pPr>
            <w:r>
              <w:t>Soda ash production</w:t>
            </w:r>
          </w:p>
        </w:tc>
        <w:tc>
          <w:tcPr>
            <w:tcW w:w="1134" w:type="dxa"/>
            <w:vAlign w:val="center"/>
          </w:tcPr>
          <w:p w14:paraId="09FBE37B" w14:textId="0B50112C" w:rsidR="0077797C" w:rsidRPr="008921E2" w:rsidRDefault="2A9278A2" w:rsidP="008921E2">
            <w:pPr>
              <w:pStyle w:val="TableText"/>
              <w:jc w:val="center"/>
            </w:pPr>
            <w:r>
              <w:t>NO</w:t>
            </w:r>
          </w:p>
        </w:tc>
        <w:tc>
          <w:tcPr>
            <w:tcW w:w="1134" w:type="dxa"/>
            <w:vAlign w:val="center"/>
          </w:tcPr>
          <w:p w14:paraId="1F529F02" w14:textId="77777777" w:rsidR="0077797C" w:rsidRPr="008921E2" w:rsidRDefault="0077797C" w:rsidP="008921E2">
            <w:pPr>
              <w:pStyle w:val="TableText"/>
              <w:jc w:val="center"/>
            </w:pPr>
          </w:p>
        </w:tc>
        <w:tc>
          <w:tcPr>
            <w:tcW w:w="1843" w:type="dxa"/>
            <w:vAlign w:val="center"/>
          </w:tcPr>
          <w:p w14:paraId="3FAAC17B" w14:textId="77777777" w:rsidR="0077797C" w:rsidRPr="008921E2" w:rsidRDefault="0077797C" w:rsidP="008921E2">
            <w:pPr>
              <w:pStyle w:val="TableText"/>
              <w:jc w:val="center"/>
            </w:pPr>
          </w:p>
        </w:tc>
      </w:tr>
      <w:tr w:rsidR="00773F38" w:rsidRPr="00274C5E" w14:paraId="74C6B370" w14:textId="77777777" w:rsidTr="2A9278A2">
        <w:tc>
          <w:tcPr>
            <w:tcW w:w="998" w:type="dxa"/>
            <w:shd w:val="clear" w:color="auto" w:fill="E0E0E0"/>
            <w:noWrap/>
            <w:vAlign w:val="center"/>
          </w:tcPr>
          <w:p w14:paraId="247DB138" w14:textId="77777777" w:rsidR="00773F38" w:rsidRPr="00274C5E" w:rsidRDefault="2A9278A2" w:rsidP="00AC57A7">
            <w:pPr>
              <w:pStyle w:val="TableText"/>
            </w:pPr>
            <w:r>
              <w:t>2B10a</w:t>
            </w:r>
          </w:p>
        </w:tc>
        <w:tc>
          <w:tcPr>
            <w:tcW w:w="3402" w:type="dxa"/>
            <w:shd w:val="clear" w:color="auto" w:fill="E0E0E0"/>
            <w:vAlign w:val="center"/>
          </w:tcPr>
          <w:p w14:paraId="050476F5" w14:textId="77777777" w:rsidR="00773F38" w:rsidRPr="00274C5E" w:rsidRDefault="2A9278A2" w:rsidP="00EF0DEB">
            <w:pPr>
              <w:pStyle w:val="TableText"/>
            </w:pPr>
            <w:r>
              <w:t>Chemical industry: Other</w:t>
            </w:r>
          </w:p>
        </w:tc>
        <w:tc>
          <w:tcPr>
            <w:tcW w:w="1134" w:type="dxa"/>
            <w:vAlign w:val="center"/>
          </w:tcPr>
          <w:p w14:paraId="17543EAB" w14:textId="4F66B5D4" w:rsidR="00773F38" w:rsidRPr="008921E2" w:rsidRDefault="2A9278A2" w:rsidP="008921E2">
            <w:pPr>
              <w:pStyle w:val="TableText"/>
              <w:jc w:val="center"/>
            </w:pPr>
            <w:r>
              <w:t>NO</w:t>
            </w:r>
          </w:p>
        </w:tc>
        <w:tc>
          <w:tcPr>
            <w:tcW w:w="1134" w:type="dxa"/>
            <w:vAlign w:val="center"/>
          </w:tcPr>
          <w:p w14:paraId="15F4D94D" w14:textId="77777777" w:rsidR="00773F38" w:rsidRPr="008921E2" w:rsidRDefault="00773F38" w:rsidP="008921E2">
            <w:pPr>
              <w:pStyle w:val="TableText"/>
              <w:jc w:val="center"/>
            </w:pPr>
          </w:p>
        </w:tc>
        <w:tc>
          <w:tcPr>
            <w:tcW w:w="1843" w:type="dxa"/>
            <w:vAlign w:val="center"/>
          </w:tcPr>
          <w:p w14:paraId="6D4114C5" w14:textId="77777777" w:rsidR="00773F38" w:rsidRPr="008921E2" w:rsidRDefault="00773F38" w:rsidP="008921E2">
            <w:pPr>
              <w:pStyle w:val="TableText"/>
              <w:jc w:val="center"/>
            </w:pPr>
          </w:p>
        </w:tc>
      </w:tr>
      <w:tr w:rsidR="00773F38" w:rsidRPr="00274C5E" w14:paraId="6F6538BA" w14:textId="77777777" w:rsidTr="2A9278A2">
        <w:tc>
          <w:tcPr>
            <w:tcW w:w="998" w:type="dxa"/>
            <w:shd w:val="clear" w:color="auto" w:fill="E0E0E0"/>
            <w:noWrap/>
            <w:vAlign w:val="center"/>
          </w:tcPr>
          <w:p w14:paraId="05DEC2DB" w14:textId="77777777" w:rsidR="00773F38" w:rsidRPr="00274C5E" w:rsidRDefault="2A9278A2" w:rsidP="00AC57A7">
            <w:pPr>
              <w:pStyle w:val="TableText"/>
            </w:pPr>
            <w:r>
              <w:t>2B10b</w:t>
            </w:r>
          </w:p>
        </w:tc>
        <w:tc>
          <w:tcPr>
            <w:tcW w:w="3402" w:type="dxa"/>
            <w:shd w:val="clear" w:color="auto" w:fill="E0E0E0"/>
            <w:vAlign w:val="center"/>
          </w:tcPr>
          <w:p w14:paraId="4DE60614" w14:textId="77777777" w:rsidR="00773F38" w:rsidRPr="00274C5E" w:rsidRDefault="2A9278A2" w:rsidP="00EF0DEB">
            <w:pPr>
              <w:pStyle w:val="TableText"/>
            </w:pPr>
            <w:r>
              <w:t>Storage, handling and transport of chemical products</w:t>
            </w:r>
          </w:p>
        </w:tc>
        <w:tc>
          <w:tcPr>
            <w:tcW w:w="1134" w:type="dxa"/>
            <w:vAlign w:val="center"/>
          </w:tcPr>
          <w:p w14:paraId="0C8401CA" w14:textId="02BA05C9" w:rsidR="00773F38" w:rsidRPr="008921E2" w:rsidRDefault="2A9278A2" w:rsidP="008921E2">
            <w:pPr>
              <w:pStyle w:val="TableText"/>
              <w:jc w:val="center"/>
            </w:pPr>
            <w:r>
              <w:t>NO</w:t>
            </w:r>
          </w:p>
        </w:tc>
        <w:tc>
          <w:tcPr>
            <w:tcW w:w="1134" w:type="dxa"/>
            <w:vAlign w:val="center"/>
          </w:tcPr>
          <w:p w14:paraId="3F4551AA" w14:textId="77777777" w:rsidR="00773F38" w:rsidRPr="008921E2" w:rsidRDefault="00773F38" w:rsidP="008921E2">
            <w:pPr>
              <w:pStyle w:val="TableText"/>
              <w:jc w:val="center"/>
            </w:pPr>
          </w:p>
        </w:tc>
        <w:tc>
          <w:tcPr>
            <w:tcW w:w="1843" w:type="dxa"/>
            <w:vAlign w:val="center"/>
          </w:tcPr>
          <w:p w14:paraId="615AB1D6" w14:textId="77777777" w:rsidR="00773F38" w:rsidRPr="008921E2" w:rsidRDefault="00773F38" w:rsidP="008921E2">
            <w:pPr>
              <w:pStyle w:val="TableText"/>
              <w:jc w:val="center"/>
            </w:pPr>
          </w:p>
        </w:tc>
      </w:tr>
      <w:tr w:rsidR="00773F38" w:rsidRPr="00274C5E" w14:paraId="62411F1A" w14:textId="77777777" w:rsidTr="2A9278A2">
        <w:tc>
          <w:tcPr>
            <w:tcW w:w="998" w:type="dxa"/>
            <w:shd w:val="clear" w:color="auto" w:fill="E0E0E0"/>
            <w:noWrap/>
            <w:vAlign w:val="center"/>
          </w:tcPr>
          <w:p w14:paraId="193E3D8B" w14:textId="77777777" w:rsidR="00773F38" w:rsidRPr="00274C5E" w:rsidRDefault="2A9278A2" w:rsidP="00AC57A7">
            <w:pPr>
              <w:pStyle w:val="TableText"/>
            </w:pPr>
            <w:r>
              <w:t>2C1</w:t>
            </w:r>
          </w:p>
        </w:tc>
        <w:tc>
          <w:tcPr>
            <w:tcW w:w="3402" w:type="dxa"/>
            <w:shd w:val="clear" w:color="auto" w:fill="E0E0E0"/>
            <w:vAlign w:val="center"/>
          </w:tcPr>
          <w:p w14:paraId="03CBCEA6" w14:textId="77777777" w:rsidR="00773F38" w:rsidRPr="00274C5E" w:rsidRDefault="2A9278A2" w:rsidP="00AC57A7">
            <w:pPr>
              <w:pStyle w:val="TableText"/>
            </w:pPr>
            <w:r>
              <w:t>Iron and steel production</w:t>
            </w:r>
          </w:p>
        </w:tc>
        <w:tc>
          <w:tcPr>
            <w:tcW w:w="1134" w:type="dxa"/>
            <w:vAlign w:val="center"/>
          </w:tcPr>
          <w:p w14:paraId="3CC35EEB" w14:textId="4B1990D6" w:rsidR="00773F38" w:rsidRPr="008921E2" w:rsidRDefault="2A9278A2" w:rsidP="008921E2">
            <w:pPr>
              <w:pStyle w:val="TableText"/>
              <w:jc w:val="center"/>
            </w:pPr>
            <w:r>
              <w:t>x</w:t>
            </w:r>
          </w:p>
        </w:tc>
        <w:tc>
          <w:tcPr>
            <w:tcW w:w="1134" w:type="dxa"/>
            <w:vAlign w:val="center"/>
          </w:tcPr>
          <w:p w14:paraId="2E1D2215" w14:textId="77777777" w:rsidR="00773F38" w:rsidRPr="008921E2" w:rsidRDefault="00773F38" w:rsidP="008921E2">
            <w:pPr>
              <w:pStyle w:val="TableText"/>
              <w:jc w:val="center"/>
            </w:pPr>
          </w:p>
        </w:tc>
        <w:tc>
          <w:tcPr>
            <w:tcW w:w="1843" w:type="dxa"/>
            <w:vAlign w:val="center"/>
          </w:tcPr>
          <w:p w14:paraId="2EB148C3" w14:textId="3AD5F97A" w:rsidR="00773F38" w:rsidRPr="008921E2" w:rsidRDefault="2A9278A2" w:rsidP="008921E2">
            <w:pPr>
              <w:pStyle w:val="TableText"/>
              <w:jc w:val="center"/>
            </w:pPr>
            <w:r>
              <w:t>x</w:t>
            </w:r>
          </w:p>
        </w:tc>
      </w:tr>
      <w:tr w:rsidR="00773F38" w:rsidRPr="00274C5E" w14:paraId="7DBD3A99" w14:textId="77777777" w:rsidTr="2A9278A2">
        <w:tc>
          <w:tcPr>
            <w:tcW w:w="998" w:type="dxa"/>
            <w:shd w:val="clear" w:color="auto" w:fill="E0E0E0"/>
            <w:noWrap/>
            <w:vAlign w:val="center"/>
          </w:tcPr>
          <w:p w14:paraId="77532679" w14:textId="77777777" w:rsidR="00773F38" w:rsidRPr="00274C5E" w:rsidRDefault="2A9278A2" w:rsidP="00AC57A7">
            <w:pPr>
              <w:pStyle w:val="TableText"/>
            </w:pPr>
            <w:r>
              <w:t>2C2</w:t>
            </w:r>
          </w:p>
        </w:tc>
        <w:tc>
          <w:tcPr>
            <w:tcW w:w="3402" w:type="dxa"/>
            <w:shd w:val="clear" w:color="auto" w:fill="E0E0E0"/>
            <w:vAlign w:val="center"/>
          </w:tcPr>
          <w:p w14:paraId="4BF7DDBA" w14:textId="77777777" w:rsidR="00773F38" w:rsidRPr="00274C5E" w:rsidRDefault="2A9278A2" w:rsidP="00AC57A7">
            <w:pPr>
              <w:pStyle w:val="TableText"/>
            </w:pPr>
            <w:r>
              <w:t>Ferroalloys production</w:t>
            </w:r>
          </w:p>
        </w:tc>
        <w:tc>
          <w:tcPr>
            <w:tcW w:w="1134" w:type="dxa"/>
            <w:vAlign w:val="center"/>
          </w:tcPr>
          <w:p w14:paraId="7F020674" w14:textId="7C62426B" w:rsidR="00773F38" w:rsidRPr="008921E2" w:rsidRDefault="2A9278A2" w:rsidP="008921E2">
            <w:pPr>
              <w:pStyle w:val="TableText"/>
              <w:jc w:val="center"/>
            </w:pPr>
            <w:r>
              <w:t>NO</w:t>
            </w:r>
          </w:p>
        </w:tc>
        <w:tc>
          <w:tcPr>
            <w:tcW w:w="1134" w:type="dxa"/>
            <w:vAlign w:val="center"/>
          </w:tcPr>
          <w:p w14:paraId="0BBE80D6" w14:textId="77777777" w:rsidR="00773F38" w:rsidRPr="008921E2" w:rsidRDefault="00773F38" w:rsidP="008921E2">
            <w:pPr>
              <w:pStyle w:val="TableText"/>
              <w:jc w:val="center"/>
            </w:pPr>
          </w:p>
        </w:tc>
        <w:tc>
          <w:tcPr>
            <w:tcW w:w="1843" w:type="dxa"/>
            <w:vAlign w:val="center"/>
          </w:tcPr>
          <w:p w14:paraId="26614C6A" w14:textId="685B202A" w:rsidR="00773F38" w:rsidRPr="008921E2" w:rsidRDefault="00773F38" w:rsidP="008921E2">
            <w:pPr>
              <w:pStyle w:val="TableText"/>
              <w:jc w:val="center"/>
            </w:pPr>
          </w:p>
        </w:tc>
      </w:tr>
      <w:tr w:rsidR="00773F38" w:rsidRPr="00274C5E" w14:paraId="44C8D2FD" w14:textId="77777777" w:rsidTr="2A9278A2">
        <w:tc>
          <w:tcPr>
            <w:tcW w:w="998" w:type="dxa"/>
            <w:shd w:val="clear" w:color="auto" w:fill="E0E0E0"/>
            <w:noWrap/>
            <w:vAlign w:val="center"/>
          </w:tcPr>
          <w:p w14:paraId="5F7DF358" w14:textId="77777777" w:rsidR="00773F38" w:rsidRPr="00274C5E" w:rsidRDefault="2A9278A2" w:rsidP="00AC57A7">
            <w:pPr>
              <w:pStyle w:val="TableText"/>
            </w:pPr>
            <w:r>
              <w:t>2C3</w:t>
            </w:r>
          </w:p>
        </w:tc>
        <w:tc>
          <w:tcPr>
            <w:tcW w:w="3402" w:type="dxa"/>
            <w:shd w:val="clear" w:color="auto" w:fill="E0E0E0"/>
            <w:vAlign w:val="center"/>
          </w:tcPr>
          <w:p w14:paraId="7DED693B" w14:textId="77777777" w:rsidR="00773F38" w:rsidRPr="00274C5E" w:rsidRDefault="2A9278A2" w:rsidP="00AC57A7">
            <w:pPr>
              <w:pStyle w:val="TableText"/>
            </w:pPr>
            <w:r>
              <w:t>Aluminium production</w:t>
            </w:r>
          </w:p>
        </w:tc>
        <w:tc>
          <w:tcPr>
            <w:tcW w:w="1134" w:type="dxa"/>
            <w:vAlign w:val="center"/>
          </w:tcPr>
          <w:p w14:paraId="17EAFCB7" w14:textId="540CF19E" w:rsidR="00773F38" w:rsidRPr="008921E2" w:rsidRDefault="2A9278A2" w:rsidP="008921E2">
            <w:pPr>
              <w:pStyle w:val="TableText"/>
              <w:jc w:val="center"/>
            </w:pPr>
            <w:r>
              <w:t>x</w:t>
            </w:r>
          </w:p>
        </w:tc>
        <w:tc>
          <w:tcPr>
            <w:tcW w:w="1134" w:type="dxa"/>
            <w:vAlign w:val="center"/>
          </w:tcPr>
          <w:p w14:paraId="2CEDAAC2" w14:textId="77777777" w:rsidR="00773F38" w:rsidRPr="008921E2" w:rsidRDefault="00773F38" w:rsidP="008921E2">
            <w:pPr>
              <w:pStyle w:val="TableText"/>
              <w:jc w:val="center"/>
            </w:pPr>
          </w:p>
        </w:tc>
        <w:tc>
          <w:tcPr>
            <w:tcW w:w="1843" w:type="dxa"/>
            <w:vAlign w:val="center"/>
          </w:tcPr>
          <w:p w14:paraId="34BCA9BF" w14:textId="7FB4ECD7" w:rsidR="00773F38" w:rsidRPr="008921E2" w:rsidRDefault="2A9278A2" w:rsidP="008921E2">
            <w:pPr>
              <w:pStyle w:val="TableText"/>
              <w:jc w:val="center"/>
            </w:pPr>
            <w:r>
              <w:t>x</w:t>
            </w:r>
          </w:p>
        </w:tc>
      </w:tr>
      <w:tr w:rsidR="0077797C" w:rsidRPr="00274C5E" w14:paraId="02861887" w14:textId="77777777" w:rsidTr="2A9278A2">
        <w:tc>
          <w:tcPr>
            <w:tcW w:w="998" w:type="dxa"/>
            <w:shd w:val="clear" w:color="auto" w:fill="E0E0E0"/>
            <w:noWrap/>
            <w:vAlign w:val="center"/>
          </w:tcPr>
          <w:p w14:paraId="6752FC24" w14:textId="77777777" w:rsidR="0077797C" w:rsidRPr="00274C5E" w:rsidRDefault="2A9278A2" w:rsidP="00AC57A7">
            <w:pPr>
              <w:pStyle w:val="TableText"/>
            </w:pPr>
            <w:r>
              <w:t>2C4</w:t>
            </w:r>
          </w:p>
        </w:tc>
        <w:tc>
          <w:tcPr>
            <w:tcW w:w="3402" w:type="dxa"/>
            <w:shd w:val="clear" w:color="auto" w:fill="E0E0E0"/>
            <w:vAlign w:val="center"/>
          </w:tcPr>
          <w:p w14:paraId="759FCECF" w14:textId="77777777" w:rsidR="0077797C" w:rsidRPr="00274C5E" w:rsidRDefault="2A9278A2" w:rsidP="00AC57A7">
            <w:pPr>
              <w:pStyle w:val="TableText"/>
            </w:pPr>
            <w:r>
              <w:t>Magnesium production</w:t>
            </w:r>
          </w:p>
        </w:tc>
        <w:tc>
          <w:tcPr>
            <w:tcW w:w="1134" w:type="dxa"/>
            <w:vAlign w:val="center"/>
          </w:tcPr>
          <w:p w14:paraId="0ECDE452" w14:textId="4EBA642B" w:rsidR="0077797C" w:rsidRPr="008921E2" w:rsidRDefault="2A9278A2" w:rsidP="008921E2">
            <w:pPr>
              <w:pStyle w:val="TableText"/>
              <w:jc w:val="center"/>
            </w:pPr>
            <w:r>
              <w:t>NO</w:t>
            </w:r>
          </w:p>
        </w:tc>
        <w:tc>
          <w:tcPr>
            <w:tcW w:w="1134" w:type="dxa"/>
            <w:vAlign w:val="center"/>
          </w:tcPr>
          <w:p w14:paraId="0BBCE0DA" w14:textId="77777777" w:rsidR="0077797C" w:rsidRPr="008921E2" w:rsidRDefault="0077797C" w:rsidP="008921E2">
            <w:pPr>
              <w:pStyle w:val="TableText"/>
              <w:jc w:val="center"/>
            </w:pPr>
          </w:p>
        </w:tc>
        <w:tc>
          <w:tcPr>
            <w:tcW w:w="1843" w:type="dxa"/>
            <w:vAlign w:val="center"/>
          </w:tcPr>
          <w:p w14:paraId="680AD479" w14:textId="77777777" w:rsidR="0077797C" w:rsidRPr="008921E2" w:rsidRDefault="0077797C" w:rsidP="008921E2">
            <w:pPr>
              <w:pStyle w:val="TableText"/>
              <w:jc w:val="center"/>
            </w:pPr>
          </w:p>
        </w:tc>
      </w:tr>
      <w:tr w:rsidR="00773F38" w:rsidRPr="00274C5E" w14:paraId="5CFEA463" w14:textId="77777777" w:rsidTr="2A9278A2">
        <w:tc>
          <w:tcPr>
            <w:tcW w:w="998" w:type="dxa"/>
            <w:shd w:val="clear" w:color="auto" w:fill="E0E0E0"/>
            <w:noWrap/>
            <w:vAlign w:val="center"/>
          </w:tcPr>
          <w:p w14:paraId="6D679C1A" w14:textId="77777777" w:rsidR="00773F38" w:rsidRPr="00274C5E" w:rsidRDefault="2A9278A2" w:rsidP="00AC57A7">
            <w:pPr>
              <w:pStyle w:val="TableText"/>
            </w:pPr>
            <w:r>
              <w:t>2C5</w:t>
            </w:r>
          </w:p>
        </w:tc>
        <w:tc>
          <w:tcPr>
            <w:tcW w:w="3402" w:type="dxa"/>
            <w:shd w:val="clear" w:color="auto" w:fill="E0E0E0"/>
            <w:vAlign w:val="center"/>
          </w:tcPr>
          <w:p w14:paraId="3ADC7FF8" w14:textId="77777777" w:rsidR="00773F38" w:rsidRPr="00274C5E" w:rsidRDefault="2A9278A2" w:rsidP="00AC57A7">
            <w:pPr>
              <w:pStyle w:val="TableText"/>
            </w:pPr>
            <w:r>
              <w:t>Lead production</w:t>
            </w:r>
          </w:p>
        </w:tc>
        <w:tc>
          <w:tcPr>
            <w:tcW w:w="1134" w:type="dxa"/>
            <w:vAlign w:val="center"/>
          </w:tcPr>
          <w:p w14:paraId="38261480" w14:textId="342C614A" w:rsidR="00773F38" w:rsidRPr="008921E2" w:rsidRDefault="2A9278A2" w:rsidP="008921E2">
            <w:pPr>
              <w:pStyle w:val="TableText"/>
              <w:jc w:val="center"/>
            </w:pPr>
            <w:r>
              <w:t>NO</w:t>
            </w:r>
          </w:p>
        </w:tc>
        <w:tc>
          <w:tcPr>
            <w:tcW w:w="1134" w:type="dxa"/>
            <w:vAlign w:val="center"/>
          </w:tcPr>
          <w:p w14:paraId="27ED5050" w14:textId="77777777" w:rsidR="00773F38" w:rsidRPr="008921E2" w:rsidRDefault="00773F38" w:rsidP="008921E2">
            <w:pPr>
              <w:pStyle w:val="TableText"/>
              <w:jc w:val="center"/>
            </w:pPr>
          </w:p>
        </w:tc>
        <w:tc>
          <w:tcPr>
            <w:tcW w:w="1843" w:type="dxa"/>
            <w:vAlign w:val="center"/>
          </w:tcPr>
          <w:p w14:paraId="562ED06C" w14:textId="77777777" w:rsidR="00773F38" w:rsidRPr="008921E2" w:rsidRDefault="00773F38" w:rsidP="008921E2">
            <w:pPr>
              <w:pStyle w:val="TableText"/>
              <w:jc w:val="center"/>
            </w:pPr>
          </w:p>
        </w:tc>
      </w:tr>
      <w:tr w:rsidR="00773F38" w:rsidRPr="00274C5E" w14:paraId="4F722C50" w14:textId="77777777" w:rsidTr="2A9278A2">
        <w:tc>
          <w:tcPr>
            <w:tcW w:w="998" w:type="dxa"/>
            <w:shd w:val="clear" w:color="auto" w:fill="E0E0E0"/>
            <w:noWrap/>
            <w:vAlign w:val="center"/>
          </w:tcPr>
          <w:p w14:paraId="2FF54C0C" w14:textId="77777777" w:rsidR="00773F38" w:rsidRPr="00274C5E" w:rsidRDefault="2A9278A2" w:rsidP="00AC57A7">
            <w:pPr>
              <w:pStyle w:val="TableText"/>
            </w:pPr>
            <w:r>
              <w:t>2C6</w:t>
            </w:r>
          </w:p>
        </w:tc>
        <w:tc>
          <w:tcPr>
            <w:tcW w:w="3402" w:type="dxa"/>
            <w:shd w:val="clear" w:color="auto" w:fill="E0E0E0"/>
            <w:vAlign w:val="center"/>
          </w:tcPr>
          <w:p w14:paraId="70733948" w14:textId="77777777" w:rsidR="00773F38" w:rsidRPr="00274C5E" w:rsidRDefault="2A9278A2" w:rsidP="00AC57A7">
            <w:pPr>
              <w:pStyle w:val="TableText"/>
            </w:pPr>
            <w:r>
              <w:t>Zinc production</w:t>
            </w:r>
          </w:p>
        </w:tc>
        <w:tc>
          <w:tcPr>
            <w:tcW w:w="1134" w:type="dxa"/>
            <w:vAlign w:val="center"/>
          </w:tcPr>
          <w:p w14:paraId="0F695F98" w14:textId="7F0CB930" w:rsidR="00773F38" w:rsidRPr="008921E2" w:rsidRDefault="2A9278A2" w:rsidP="008921E2">
            <w:pPr>
              <w:pStyle w:val="TableText"/>
              <w:jc w:val="center"/>
            </w:pPr>
            <w:r>
              <w:t>NO</w:t>
            </w:r>
          </w:p>
        </w:tc>
        <w:tc>
          <w:tcPr>
            <w:tcW w:w="1134" w:type="dxa"/>
            <w:vAlign w:val="center"/>
          </w:tcPr>
          <w:p w14:paraId="5884F500" w14:textId="77777777" w:rsidR="00773F38" w:rsidRPr="008921E2" w:rsidRDefault="00773F38" w:rsidP="008921E2">
            <w:pPr>
              <w:pStyle w:val="TableText"/>
              <w:jc w:val="center"/>
            </w:pPr>
          </w:p>
        </w:tc>
        <w:tc>
          <w:tcPr>
            <w:tcW w:w="1843" w:type="dxa"/>
            <w:vAlign w:val="center"/>
          </w:tcPr>
          <w:p w14:paraId="7FB7F656" w14:textId="77777777" w:rsidR="00773F38" w:rsidRPr="008921E2" w:rsidRDefault="00773F38" w:rsidP="008921E2">
            <w:pPr>
              <w:pStyle w:val="TableText"/>
              <w:jc w:val="center"/>
            </w:pPr>
          </w:p>
        </w:tc>
      </w:tr>
      <w:tr w:rsidR="00773F38" w:rsidRPr="00274C5E" w14:paraId="4EECA3BA" w14:textId="77777777" w:rsidTr="2A9278A2">
        <w:tc>
          <w:tcPr>
            <w:tcW w:w="998" w:type="dxa"/>
            <w:shd w:val="clear" w:color="auto" w:fill="E0E0E0"/>
            <w:noWrap/>
            <w:vAlign w:val="center"/>
          </w:tcPr>
          <w:p w14:paraId="6A1AE8A1" w14:textId="77777777" w:rsidR="00773F38" w:rsidRPr="00274C5E" w:rsidRDefault="2A9278A2" w:rsidP="00AC57A7">
            <w:pPr>
              <w:pStyle w:val="TableText"/>
            </w:pPr>
            <w:r>
              <w:t>2C7a</w:t>
            </w:r>
          </w:p>
        </w:tc>
        <w:tc>
          <w:tcPr>
            <w:tcW w:w="3402" w:type="dxa"/>
            <w:shd w:val="clear" w:color="auto" w:fill="E0E0E0"/>
            <w:vAlign w:val="center"/>
          </w:tcPr>
          <w:p w14:paraId="255B5416" w14:textId="77777777" w:rsidR="00773F38" w:rsidRPr="00274C5E" w:rsidRDefault="2A9278A2" w:rsidP="00AC57A7">
            <w:pPr>
              <w:pStyle w:val="TableText"/>
            </w:pPr>
            <w:r>
              <w:t>Copper production</w:t>
            </w:r>
          </w:p>
        </w:tc>
        <w:tc>
          <w:tcPr>
            <w:tcW w:w="1134" w:type="dxa"/>
            <w:vAlign w:val="center"/>
          </w:tcPr>
          <w:p w14:paraId="3BB5A38A" w14:textId="46458CA5" w:rsidR="00773F38" w:rsidRPr="008921E2" w:rsidRDefault="2A9278A2" w:rsidP="008921E2">
            <w:pPr>
              <w:pStyle w:val="TableText"/>
              <w:jc w:val="center"/>
            </w:pPr>
            <w:r>
              <w:t>NO</w:t>
            </w:r>
          </w:p>
        </w:tc>
        <w:tc>
          <w:tcPr>
            <w:tcW w:w="1134" w:type="dxa"/>
            <w:vAlign w:val="center"/>
          </w:tcPr>
          <w:p w14:paraId="424FACEA" w14:textId="77777777" w:rsidR="00773F38" w:rsidRPr="008921E2" w:rsidRDefault="00773F38" w:rsidP="008921E2">
            <w:pPr>
              <w:pStyle w:val="TableText"/>
              <w:jc w:val="center"/>
            </w:pPr>
          </w:p>
        </w:tc>
        <w:tc>
          <w:tcPr>
            <w:tcW w:w="1843" w:type="dxa"/>
            <w:vAlign w:val="center"/>
          </w:tcPr>
          <w:p w14:paraId="05A9674D" w14:textId="77777777" w:rsidR="00773F38" w:rsidRPr="008921E2" w:rsidRDefault="00773F38" w:rsidP="008921E2">
            <w:pPr>
              <w:pStyle w:val="TableText"/>
              <w:jc w:val="center"/>
            </w:pPr>
          </w:p>
        </w:tc>
      </w:tr>
      <w:tr w:rsidR="00773F38" w:rsidRPr="00274C5E" w14:paraId="0770A1C0" w14:textId="77777777" w:rsidTr="2A9278A2">
        <w:tc>
          <w:tcPr>
            <w:tcW w:w="998" w:type="dxa"/>
            <w:shd w:val="clear" w:color="auto" w:fill="E0E0E0"/>
            <w:noWrap/>
            <w:vAlign w:val="center"/>
          </w:tcPr>
          <w:p w14:paraId="6751FD98" w14:textId="77777777" w:rsidR="00773F38" w:rsidRPr="00274C5E" w:rsidRDefault="2A9278A2" w:rsidP="00AC57A7">
            <w:pPr>
              <w:pStyle w:val="TableText"/>
            </w:pPr>
            <w:r>
              <w:t>2C7b</w:t>
            </w:r>
          </w:p>
        </w:tc>
        <w:tc>
          <w:tcPr>
            <w:tcW w:w="3402" w:type="dxa"/>
            <w:shd w:val="clear" w:color="auto" w:fill="E0E0E0"/>
            <w:vAlign w:val="center"/>
          </w:tcPr>
          <w:p w14:paraId="4F7AA70E" w14:textId="77777777" w:rsidR="00773F38" w:rsidRPr="00274C5E" w:rsidRDefault="2A9278A2" w:rsidP="00AC57A7">
            <w:pPr>
              <w:pStyle w:val="TableText"/>
            </w:pPr>
            <w:r>
              <w:t>Nickel production</w:t>
            </w:r>
          </w:p>
        </w:tc>
        <w:tc>
          <w:tcPr>
            <w:tcW w:w="1134" w:type="dxa"/>
            <w:vAlign w:val="center"/>
          </w:tcPr>
          <w:p w14:paraId="2F67A113" w14:textId="31379382" w:rsidR="00773F38" w:rsidRPr="008921E2" w:rsidRDefault="2A9278A2" w:rsidP="008921E2">
            <w:pPr>
              <w:pStyle w:val="TableText"/>
              <w:jc w:val="center"/>
            </w:pPr>
            <w:r>
              <w:t>NO</w:t>
            </w:r>
          </w:p>
        </w:tc>
        <w:tc>
          <w:tcPr>
            <w:tcW w:w="1134" w:type="dxa"/>
            <w:vAlign w:val="center"/>
          </w:tcPr>
          <w:p w14:paraId="359B1957" w14:textId="77777777" w:rsidR="00773F38" w:rsidRPr="008921E2" w:rsidRDefault="00773F38" w:rsidP="008921E2">
            <w:pPr>
              <w:pStyle w:val="TableText"/>
              <w:jc w:val="center"/>
            </w:pPr>
          </w:p>
        </w:tc>
        <w:tc>
          <w:tcPr>
            <w:tcW w:w="1843" w:type="dxa"/>
            <w:vAlign w:val="center"/>
          </w:tcPr>
          <w:p w14:paraId="1A27E45E" w14:textId="77777777" w:rsidR="00773F38" w:rsidRPr="008921E2" w:rsidRDefault="00773F38" w:rsidP="008921E2">
            <w:pPr>
              <w:pStyle w:val="TableText"/>
              <w:jc w:val="center"/>
            </w:pPr>
          </w:p>
        </w:tc>
      </w:tr>
      <w:tr w:rsidR="00773F38" w:rsidRPr="00274C5E" w14:paraId="3B79B571" w14:textId="77777777" w:rsidTr="2A9278A2">
        <w:tc>
          <w:tcPr>
            <w:tcW w:w="998" w:type="dxa"/>
            <w:shd w:val="clear" w:color="auto" w:fill="E0E0E0"/>
            <w:noWrap/>
            <w:vAlign w:val="center"/>
          </w:tcPr>
          <w:p w14:paraId="06F9EDB0" w14:textId="77777777" w:rsidR="00773F38" w:rsidRPr="00274C5E" w:rsidRDefault="2A9278A2" w:rsidP="00AC57A7">
            <w:pPr>
              <w:pStyle w:val="TableText"/>
            </w:pPr>
            <w:r>
              <w:t>2C7c</w:t>
            </w:r>
          </w:p>
        </w:tc>
        <w:tc>
          <w:tcPr>
            <w:tcW w:w="3402" w:type="dxa"/>
            <w:shd w:val="clear" w:color="auto" w:fill="E0E0E0"/>
            <w:vAlign w:val="center"/>
          </w:tcPr>
          <w:p w14:paraId="3D202F7C" w14:textId="77777777" w:rsidR="00773F38" w:rsidRPr="00274C5E" w:rsidRDefault="2A9278A2" w:rsidP="00EF0DEB">
            <w:pPr>
              <w:pStyle w:val="TableText"/>
            </w:pPr>
            <w:r>
              <w:t>Other metal production</w:t>
            </w:r>
          </w:p>
        </w:tc>
        <w:tc>
          <w:tcPr>
            <w:tcW w:w="1134" w:type="dxa"/>
            <w:vAlign w:val="center"/>
          </w:tcPr>
          <w:p w14:paraId="16CA8AE1" w14:textId="0017D30C" w:rsidR="00773F38" w:rsidRPr="008921E2" w:rsidRDefault="2A9278A2" w:rsidP="008921E2">
            <w:pPr>
              <w:pStyle w:val="TableText"/>
              <w:jc w:val="center"/>
            </w:pPr>
            <w:r>
              <w:t>NO</w:t>
            </w:r>
          </w:p>
        </w:tc>
        <w:tc>
          <w:tcPr>
            <w:tcW w:w="1134" w:type="dxa"/>
            <w:vAlign w:val="center"/>
          </w:tcPr>
          <w:p w14:paraId="733EA39D" w14:textId="77777777" w:rsidR="00773F38" w:rsidRPr="008921E2" w:rsidRDefault="00773F38" w:rsidP="008921E2">
            <w:pPr>
              <w:pStyle w:val="TableText"/>
              <w:jc w:val="center"/>
            </w:pPr>
          </w:p>
        </w:tc>
        <w:tc>
          <w:tcPr>
            <w:tcW w:w="1843" w:type="dxa"/>
            <w:vAlign w:val="center"/>
          </w:tcPr>
          <w:p w14:paraId="4517C1FC" w14:textId="77777777" w:rsidR="00773F38" w:rsidRPr="008921E2" w:rsidRDefault="00773F38" w:rsidP="008921E2">
            <w:pPr>
              <w:pStyle w:val="TableText"/>
              <w:jc w:val="center"/>
            </w:pPr>
          </w:p>
        </w:tc>
      </w:tr>
      <w:tr w:rsidR="00773F38" w:rsidRPr="00274C5E" w14:paraId="3CC90C81" w14:textId="77777777" w:rsidTr="2A9278A2">
        <w:tc>
          <w:tcPr>
            <w:tcW w:w="998" w:type="dxa"/>
            <w:shd w:val="clear" w:color="auto" w:fill="E0E0E0"/>
            <w:noWrap/>
            <w:vAlign w:val="center"/>
          </w:tcPr>
          <w:p w14:paraId="4732822C" w14:textId="77777777" w:rsidR="00773F38" w:rsidRPr="00274C5E" w:rsidRDefault="2A9278A2" w:rsidP="00AC57A7">
            <w:pPr>
              <w:pStyle w:val="TableText"/>
            </w:pPr>
            <w:r>
              <w:t>2C7d</w:t>
            </w:r>
          </w:p>
        </w:tc>
        <w:tc>
          <w:tcPr>
            <w:tcW w:w="3402" w:type="dxa"/>
            <w:shd w:val="clear" w:color="auto" w:fill="E0E0E0"/>
            <w:vAlign w:val="center"/>
          </w:tcPr>
          <w:p w14:paraId="77B8AED1" w14:textId="77777777" w:rsidR="00773F38" w:rsidRPr="00274C5E" w:rsidRDefault="2A9278A2" w:rsidP="00EF0DEB">
            <w:pPr>
              <w:pStyle w:val="TableText"/>
            </w:pPr>
            <w:r>
              <w:t>Storage, handling and transport of metal products</w:t>
            </w:r>
          </w:p>
        </w:tc>
        <w:tc>
          <w:tcPr>
            <w:tcW w:w="1134" w:type="dxa"/>
            <w:vAlign w:val="center"/>
          </w:tcPr>
          <w:p w14:paraId="03178A28" w14:textId="39A59789" w:rsidR="00773F38" w:rsidRPr="008921E2" w:rsidRDefault="2A9278A2" w:rsidP="008921E2">
            <w:pPr>
              <w:pStyle w:val="TableText"/>
              <w:jc w:val="center"/>
            </w:pPr>
            <w:r>
              <w:t>NO</w:t>
            </w:r>
          </w:p>
        </w:tc>
        <w:tc>
          <w:tcPr>
            <w:tcW w:w="1134" w:type="dxa"/>
            <w:vAlign w:val="center"/>
          </w:tcPr>
          <w:p w14:paraId="391BC852" w14:textId="77777777" w:rsidR="00773F38" w:rsidRPr="008921E2" w:rsidRDefault="00773F38" w:rsidP="008921E2">
            <w:pPr>
              <w:pStyle w:val="TableText"/>
              <w:jc w:val="center"/>
            </w:pPr>
          </w:p>
        </w:tc>
        <w:tc>
          <w:tcPr>
            <w:tcW w:w="1843" w:type="dxa"/>
            <w:vAlign w:val="center"/>
          </w:tcPr>
          <w:p w14:paraId="79E0B693" w14:textId="77777777" w:rsidR="00773F38" w:rsidRPr="008921E2" w:rsidRDefault="00773F38" w:rsidP="008921E2">
            <w:pPr>
              <w:pStyle w:val="TableText"/>
              <w:jc w:val="center"/>
            </w:pPr>
          </w:p>
        </w:tc>
      </w:tr>
      <w:tr w:rsidR="00EB353A" w14:paraId="076530A5" w14:textId="77777777" w:rsidTr="2A9278A2">
        <w:tc>
          <w:tcPr>
            <w:tcW w:w="998" w:type="dxa"/>
            <w:tcBorders>
              <w:top w:val="single" w:sz="4" w:space="0" w:color="auto"/>
              <w:left w:val="single" w:sz="4" w:space="0" w:color="auto"/>
              <w:bottom w:val="single" w:sz="4" w:space="0" w:color="auto"/>
              <w:right w:val="single" w:sz="4" w:space="0" w:color="auto"/>
            </w:tcBorders>
            <w:shd w:val="clear" w:color="auto" w:fill="E0E0E0"/>
            <w:noWrap/>
            <w:vAlign w:val="center"/>
          </w:tcPr>
          <w:p w14:paraId="07F1884F" w14:textId="77777777" w:rsidR="00EB353A" w:rsidRPr="00EB353A" w:rsidRDefault="2A9278A2" w:rsidP="00EF0DEB">
            <w:pPr>
              <w:pStyle w:val="TableText"/>
            </w:pPr>
            <w:r>
              <w:t>2D3b</w:t>
            </w:r>
          </w:p>
        </w:tc>
        <w:tc>
          <w:tcPr>
            <w:tcW w:w="3402" w:type="dxa"/>
            <w:tcBorders>
              <w:top w:val="single" w:sz="4" w:space="0" w:color="auto"/>
              <w:left w:val="single" w:sz="4" w:space="0" w:color="auto"/>
              <w:bottom w:val="single" w:sz="4" w:space="0" w:color="auto"/>
              <w:right w:val="single" w:sz="4" w:space="0" w:color="auto"/>
            </w:tcBorders>
            <w:shd w:val="clear" w:color="auto" w:fill="E0E0E0"/>
            <w:vAlign w:val="center"/>
          </w:tcPr>
          <w:p w14:paraId="5806F133" w14:textId="77777777" w:rsidR="00EB353A" w:rsidRPr="00EB353A" w:rsidRDefault="2A9278A2" w:rsidP="00EF0DEB">
            <w:pPr>
              <w:pStyle w:val="TableText"/>
            </w:pPr>
            <w:r>
              <w:t>Road paving with asphalt</w:t>
            </w:r>
          </w:p>
        </w:tc>
        <w:tc>
          <w:tcPr>
            <w:tcW w:w="1134" w:type="dxa"/>
            <w:tcBorders>
              <w:top w:val="single" w:sz="4" w:space="0" w:color="auto"/>
              <w:left w:val="single" w:sz="4" w:space="0" w:color="auto"/>
              <w:bottom w:val="single" w:sz="4" w:space="0" w:color="auto"/>
              <w:right w:val="single" w:sz="4" w:space="0" w:color="auto"/>
            </w:tcBorders>
            <w:vAlign w:val="center"/>
          </w:tcPr>
          <w:p w14:paraId="1D601BB4" w14:textId="1E1FA273" w:rsidR="00EB353A" w:rsidRPr="00EB353A" w:rsidRDefault="2A9278A2" w:rsidP="00EF0DEB">
            <w:pPr>
              <w:pStyle w:val="TableText"/>
              <w:jc w:val="center"/>
            </w:pPr>
            <w:r>
              <w:t>x/NE</w:t>
            </w:r>
          </w:p>
        </w:tc>
        <w:tc>
          <w:tcPr>
            <w:tcW w:w="1134" w:type="dxa"/>
            <w:tcBorders>
              <w:top w:val="single" w:sz="4" w:space="0" w:color="auto"/>
              <w:left w:val="single" w:sz="4" w:space="0" w:color="auto"/>
              <w:bottom w:val="single" w:sz="4" w:space="0" w:color="auto"/>
              <w:right w:val="single" w:sz="4" w:space="0" w:color="auto"/>
            </w:tcBorders>
            <w:vAlign w:val="center"/>
          </w:tcPr>
          <w:p w14:paraId="0B138AA1" w14:textId="77777777" w:rsidR="00EB353A" w:rsidRPr="00EB353A" w:rsidRDefault="00EB353A" w:rsidP="00EF0DEB">
            <w:pPr>
              <w:pStyle w:val="TableText"/>
              <w:jc w:val="center"/>
            </w:pPr>
          </w:p>
        </w:tc>
        <w:tc>
          <w:tcPr>
            <w:tcW w:w="1843" w:type="dxa"/>
            <w:tcBorders>
              <w:top w:val="single" w:sz="4" w:space="0" w:color="auto"/>
              <w:left w:val="single" w:sz="4" w:space="0" w:color="auto"/>
              <w:bottom w:val="single" w:sz="4" w:space="0" w:color="auto"/>
              <w:right w:val="single" w:sz="4" w:space="0" w:color="auto"/>
            </w:tcBorders>
            <w:vAlign w:val="center"/>
          </w:tcPr>
          <w:p w14:paraId="07BA0BD9" w14:textId="41C0B58E" w:rsidR="00EB353A" w:rsidRPr="00EB353A" w:rsidRDefault="2A9278A2" w:rsidP="00EF0DEB">
            <w:pPr>
              <w:pStyle w:val="TableText"/>
              <w:jc w:val="center"/>
            </w:pPr>
            <w:r>
              <w:t>x</w:t>
            </w:r>
          </w:p>
        </w:tc>
      </w:tr>
      <w:tr w:rsidR="00EB353A" w14:paraId="0779D138" w14:textId="77777777" w:rsidTr="2A9278A2">
        <w:tc>
          <w:tcPr>
            <w:tcW w:w="998" w:type="dxa"/>
            <w:tcBorders>
              <w:top w:val="single" w:sz="4" w:space="0" w:color="auto"/>
              <w:left w:val="single" w:sz="4" w:space="0" w:color="auto"/>
              <w:bottom w:val="single" w:sz="4" w:space="0" w:color="auto"/>
              <w:right w:val="single" w:sz="4" w:space="0" w:color="auto"/>
            </w:tcBorders>
            <w:shd w:val="clear" w:color="auto" w:fill="E0E0E0"/>
            <w:noWrap/>
            <w:vAlign w:val="center"/>
          </w:tcPr>
          <w:p w14:paraId="5007CEE1" w14:textId="77777777" w:rsidR="00EB353A" w:rsidRPr="00EB353A" w:rsidRDefault="2A9278A2" w:rsidP="00EF0DEB">
            <w:pPr>
              <w:pStyle w:val="TableText"/>
            </w:pPr>
            <w:r>
              <w:t>2D3c</w:t>
            </w:r>
          </w:p>
        </w:tc>
        <w:tc>
          <w:tcPr>
            <w:tcW w:w="3402" w:type="dxa"/>
            <w:tcBorders>
              <w:top w:val="single" w:sz="4" w:space="0" w:color="auto"/>
              <w:left w:val="single" w:sz="4" w:space="0" w:color="auto"/>
              <w:bottom w:val="single" w:sz="4" w:space="0" w:color="auto"/>
              <w:right w:val="single" w:sz="4" w:space="0" w:color="auto"/>
            </w:tcBorders>
            <w:shd w:val="clear" w:color="auto" w:fill="E0E0E0"/>
            <w:vAlign w:val="center"/>
          </w:tcPr>
          <w:p w14:paraId="56987CA2" w14:textId="77777777" w:rsidR="00EB353A" w:rsidRPr="00EB353A" w:rsidRDefault="2A9278A2" w:rsidP="00EF0DEB">
            <w:pPr>
              <w:pStyle w:val="TableText"/>
            </w:pPr>
            <w:r>
              <w:t>Asphalt roofing</w:t>
            </w:r>
          </w:p>
        </w:tc>
        <w:tc>
          <w:tcPr>
            <w:tcW w:w="1134" w:type="dxa"/>
            <w:tcBorders>
              <w:top w:val="single" w:sz="4" w:space="0" w:color="auto"/>
              <w:left w:val="single" w:sz="4" w:space="0" w:color="auto"/>
              <w:bottom w:val="single" w:sz="4" w:space="0" w:color="auto"/>
              <w:right w:val="single" w:sz="4" w:space="0" w:color="auto"/>
            </w:tcBorders>
            <w:vAlign w:val="center"/>
          </w:tcPr>
          <w:p w14:paraId="32F22619" w14:textId="6FF686DB" w:rsidR="00EB353A" w:rsidRPr="00EB353A" w:rsidRDefault="2A9278A2" w:rsidP="00EF0DEB">
            <w:pPr>
              <w:pStyle w:val="TableText"/>
              <w:jc w:val="center"/>
            </w:pPr>
            <w:r>
              <w:t>x/NE</w:t>
            </w:r>
          </w:p>
        </w:tc>
        <w:tc>
          <w:tcPr>
            <w:tcW w:w="1134" w:type="dxa"/>
            <w:tcBorders>
              <w:top w:val="single" w:sz="4" w:space="0" w:color="auto"/>
              <w:left w:val="single" w:sz="4" w:space="0" w:color="auto"/>
              <w:bottom w:val="single" w:sz="4" w:space="0" w:color="auto"/>
              <w:right w:val="single" w:sz="4" w:space="0" w:color="auto"/>
            </w:tcBorders>
            <w:vAlign w:val="center"/>
          </w:tcPr>
          <w:p w14:paraId="0EAC5F5B" w14:textId="77777777" w:rsidR="00EB353A" w:rsidRPr="00EB353A" w:rsidRDefault="00EB353A" w:rsidP="00EF0DEB">
            <w:pPr>
              <w:pStyle w:val="TableText"/>
              <w:jc w:val="center"/>
            </w:pPr>
          </w:p>
        </w:tc>
        <w:tc>
          <w:tcPr>
            <w:tcW w:w="1843" w:type="dxa"/>
            <w:tcBorders>
              <w:top w:val="single" w:sz="4" w:space="0" w:color="auto"/>
              <w:left w:val="single" w:sz="4" w:space="0" w:color="auto"/>
              <w:bottom w:val="single" w:sz="4" w:space="0" w:color="auto"/>
              <w:right w:val="single" w:sz="4" w:space="0" w:color="auto"/>
            </w:tcBorders>
            <w:vAlign w:val="center"/>
          </w:tcPr>
          <w:p w14:paraId="05D2EA79" w14:textId="43C04874" w:rsidR="00EB353A" w:rsidRPr="00EB353A" w:rsidRDefault="2A9278A2" w:rsidP="00EF0DEB">
            <w:pPr>
              <w:pStyle w:val="TableText"/>
              <w:jc w:val="center"/>
            </w:pPr>
            <w:r>
              <w:t>x</w:t>
            </w:r>
          </w:p>
        </w:tc>
      </w:tr>
      <w:tr w:rsidR="00773F38" w:rsidRPr="00274C5E" w14:paraId="5EB3F544" w14:textId="77777777" w:rsidTr="2A9278A2">
        <w:tc>
          <w:tcPr>
            <w:tcW w:w="998" w:type="dxa"/>
            <w:shd w:val="clear" w:color="auto" w:fill="E0E0E0"/>
            <w:noWrap/>
            <w:vAlign w:val="center"/>
          </w:tcPr>
          <w:p w14:paraId="675BF9BA" w14:textId="77777777" w:rsidR="00773F38" w:rsidRPr="00274C5E" w:rsidRDefault="2A9278A2" w:rsidP="00AC57A7">
            <w:pPr>
              <w:pStyle w:val="TableText"/>
            </w:pPr>
            <w:r>
              <w:t>2H1</w:t>
            </w:r>
          </w:p>
        </w:tc>
        <w:tc>
          <w:tcPr>
            <w:tcW w:w="3402" w:type="dxa"/>
            <w:shd w:val="clear" w:color="auto" w:fill="E0E0E0"/>
            <w:vAlign w:val="center"/>
          </w:tcPr>
          <w:p w14:paraId="4E88511A" w14:textId="77777777" w:rsidR="00773F38" w:rsidRPr="00274C5E" w:rsidRDefault="2A9278A2" w:rsidP="00AC57A7">
            <w:pPr>
              <w:pStyle w:val="TableText"/>
            </w:pPr>
            <w:r>
              <w:t>Pulp and paper industry</w:t>
            </w:r>
          </w:p>
        </w:tc>
        <w:tc>
          <w:tcPr>
            <w:tcW w:w="1134" w:type="dxa"/>
            <w:vAlign w:val="center"/>
          </w:tcPr>
          <w:p w14:paraId="5E9C27F0" w14:textId="64299659" w:rsidR="00773F38" w:rsidRPr="008921E2" w:rsidRDefault="2A9278A2" w:rsidP="008921E2">
            <w:pPr>
              <w:pStyle w:val="TableText"/>
              <w:jc w:val="center"/>
            </w:pPr>
            <w:r>
              <w:t>NO</w:t>
            </w:r>
          </w:p>
        </w:tc>
        <w:tc>
          <w:tcPr>
            <w:tcW w:w="1134" w:type="dxa"/>
            <w:vAlign w:val="center"/>
          </w:tcPr>
          <w:p w14:paraId="27B505B2" w14:textId="77777777" w:rsidR="00773F38" w:rsidRPr="008921E2" w:rsidRDefault="00773F38" w:rsidP="008921E2">
            <w:pPr>
              <w:pStyle w:val="TableText"/>
              <w:jc w:val="center"/>
            </w:pPr>
          </w:p>
        </w:tc>
        <w:tc>
          <w:tcPr>
            <w:tcW w:w="1843" w:type="dxa"/>
            <w:vAlign w:val="center"/>
          </w:tcPr>
          <w:p w14:paraId="66A83988" w14:textId="77777777" w:rsidR="00773F38" w:rsidRPr="008921E2" w:rsidRDefault="00773F38" w:rsidP="008921E2">
            <w:pPr>
              <w:pStyle w:val="TableText"/>
              <w:jc w:val="center"/>
            </w:pPr>
          </w:p>
        </w:tc>
      </w:tr>
      <w:tr w:rsidR="00773F38" w:rsidRPr="00274C5E" w14:paraId="59C1F8BF" w14:textId="77777777" w:rsidTr="2A9278A2">
        <w:tc>
          <w:tcPr>
            <w:tcW w:w="998" w:type="dxa"/>
            <w:shd w:val="clear" w:color="auto" w:fill="E0E0E0"/>
            <w:noWrap/>
            <w:vAlign w:val="center"/>
          </w:tcPr>
          <w:p w14:paraId="38D509E5" w14:textId="77777777" w:rsidR="00773F38" w:rsidRPr="00274C5E" w:rsidRDefault="2A9278A2" w:rsidP="00AC57A7">
            <w:pPr>
              <w:pStyle w:val="TableText"/>
            </w:pPr>
            <w:r>
              <w:t>2H2</w:t>
            </w:r>
          </w:p>
        </w:tc>
        <w:tc>
          <w:tcPr>
            <w:tcW w:w="3402" w:type="dxa"/>
            <w:shd w:val="clear" w:color="auto" w:fill="E0E0E0"/>
            <w:vAlign w:val="center"/>
          </w:tcPr>
          <w:p w14:paraId="5FE96803" w14:textId="77777777" w:rsidR="00773F38" w:rsidRPr="00274C5E" w:rsidRDefault="2A9278A2" w:rsidP="00AC57A7">
            <w:pPr>
              <w:pStyle w:val="TableText"/>
            </w:pPr>
            <w:r>
              <w:t>Food and beverages industry</w:t>
            </w:r>
          </w:p>
        </w:tc>
        <w:tc>
          <w:tcPr>
            <w:tcW w:w="1134" w:type="dxa"/>
            <w:vAlign w:val="center"/>
          </w:tcPr>
          <w:p w14:paraId="1848226B" w14:textId="6A252F3E" w:rsidR="00773F38" w:rsidRPr="008921E2" w:rsidRDefault="2A9278A2" w:rsidP="008921E2">
            <w:pPr>
              <w:pStyle w:val="TableText"/>
              <w:jc w:val="center"/>
            </w:pPr>
            <w:r>
              <w:t>x</w:t>
            </w:r>
          </w:p>
        </w:tc>
        <w:tc>
          <w:tcPr>
            <w:tcW w:w="1134" w:type="dxa"/>
            <w:vAlign w:val="center"/>
          </w:tcPr>
          <w:p w14:paraId="225D28DB" w14:textId="77777777" w:rsidR="00773F38" w:rsidRPr="008921E2" w:rsidRDefault="00773F38" w:rsidP="008921E2">
            <w:pPr>
              <w:pStyle w:val="TableText"/>
              <w:jc w:val="center"/>
            </w:pPr>
          </w:p>
        </w:tc>
        <w:tc>
          <w:tcPr>
            <w:tcW w:w="1843" w:type="dxa"/>
            <w:vAlign w:val="center"/>
          </w:tcPr>
          <w:p w14:paraId="6AF5260F" w14:textId="2CD5A82C" w:rsidR="00773F38" w:rsidRPr="008921E2" w:rsidRDefault="2A9278A2" w:rsidP="008921E2">
            <w:pPr>
              <w:pStyle w:val="TableText"/>
              <w:jc w:val="center"/>
            </w:pPr>
            <w:r>
              <w:t>x</w:t>
            </w:r>
          </w:p>
        </w:tc>
      </w:tr>
      <w:tr w:rsidR="00B70A74" w:rsidRPr="00274C5E" w14:paraId="0B18EBBC" w14:textId="77777777" w:rsidTr="2A9278A2">
        <w:tc>
          <w:tcPr>
            <w:tcW w:w="998" w:type="dxa"/>
            <w:shd w:val="clear" w:color="auto" w:fill="E0E0E0"/>
            <w:noWrap/>
            <w:vAlign w:val="center"/>
          </w:tcPr>
          <w:p w14:paraId="0170956D" w14:textId="77777777" w:rsidR="00B70A74" w:rsidRPr="00274C5E" w:rsidRDefault="2A9278A2" w:rsidP="00AC57A7">
            <w:pPr>
              <w:pStyle w:val="TableText"/>
            </w:pPr>
            <w:r>
              <w:t>2H3</w:t>
            </w:r>
          </w:p>
        </w:tc>
        <w:tc>
          <w:tcPr>
            <w:tcW w:w="3402" w:type="dxa"/>
            <w:shd w:val="clear" w:color="auto" w:fill="E0E0E0"/>
            <w:vAlign w:val="center"/>
          </w:tcPr>
          <w:p w14:paraId="57212880" w14:textId="77777777" w:rsidR="00B70A74" w:rsidRPr="00274C5E" w:rsidRDefault="2A9278A2" w:rsidP="00EF0DEB">
            <w:pPr>
              <w:pStyle w:val="TableText"/>
            </w:pPr>
            <w:r>
              <w:t>Other industrial processes</w:t>
            </w:r>
          </w:p>
        </w:tc>
        <w:tc>
          <w:tcPr>
            <w:tcW w:w="1134" w:type="dxa"/>
            <w:vAlign w:val="center"/>
          </w:tcPr>
          <w:p w14:paraId="2E1B8F4B" w14:textId="72F14FFF" w:rsidR="00B70A74" w:rsidRPr="008921E2" w:rsidRDefault="2A9278A2" w:rsidP="008921E2">
            <w:pPr>
              <w:pStyle w:val="TableText"/>
              <w:jc w:val="center"/>
            </w:pPr>
            <w:r>
              <w:t>NO</w:t>
            </w:r>
          </w:p>
        </w:tc>
        <w:tc>
          <w:tcPr>
            <w:tcW w:w="1134" w:type="dxa"/>
            <w:vAlign w:val="center"/>
          </w:tcPr>
          <w:p w14:paraId="7254F88D" w14:textId="77777777" w:rsidR="00B70A74" w:rsidRPr="008921E2" w:rsidRDefault="00B70A74" w:rsidP="008921E2">
            <w:pPr>
              <w:pStyle w:val="TableText"/>
              <w:jc w:val="center"/>
            </w:pPr>
          </w:p>
        </w:tc>
        <w:tc>
          <w:tcPr>
            <w:tcW w:w="1843" w:type="dxa"/>
            <w:vAlign w:val="center"/>
          </w:tcPr>
          <w:p w14:paraId="40D01DED" w14:textId="77777777" w:rsidR="00B70A74" w:rsidRPr="008921E2" w:rsidRDefault="00B70A74" w:rsidP="008921E2">
            <w:pPr>
              <w:pStyle w:val="TableText"/>
              <w:jc w:val="center"/>
            </w:pPr>
          </w:p>
        </w:tc>
      </w:tr>
      <w:tr w:rsidR="00773F38" w:rsidRPr="00274C5E" w14:paraId="7CC77F70" w14:textId="77777777" w:rsidTr="2A9278A2">
        <w:tc>
          <w:tcPr>
            <w:tcW w:w="998" w:type="dxa"/>
            <w:shd w:val="clear" w:color="auto" w:fill="E0E0E0"/>
            <w:noWrap/>
            <w:vAlign w:val="center"/>
          </w:tcPr>
          <w:p w14:paraId="56184E95" w14:textId="77777777" w:rsidR="00773F38" w:rsidRPr="00274C5E" w:rsidRDefault="2A9278A2" w:rsidP="00AC57A7">
            <w:pPr>
              <w:pStyle w:val="TableText"/>
            </w:pPr>
            <w:r>
              <w:t>2I</w:t>
            </w:r>
          </w:p>
        </w:tc>
        <w:tc>
          <w:tcPr>
            <w:tcW w:w="3402" w:type="dxa"/>
            <w:shd w:val="clear" w:color="auto" w:fill="E0E0E0"/>
            <w:vAlign w:val="center"/>
          </w:tcPr>
          <w:p w14:paraId="7D8B884F" w14:textId="77777777" w:rsidR="00773F38" w:rsidRPr="00274C5E" w:rsidRDefault="2A9278A2" w:rsidP="00AC57A7">
            <w:pPr>
              <w:pStyle w:val="TableText"/>
            </w:pPr>
            <w:r>
              <w:t>Wood processing</w:t>
            </w:r>
          </w:p>
        </w:tc>
        <w:tc>
          <w:tcPr>
            <w:tcW w:w="1134" w:type="dxa"/>
            <w:vAlign w:val="center"/>
          </w:tcPr>
          <w:p w14:paraId="6CF94B43" w14:textId="098DD4A6" w:rsidR="00773F38" w:rsidRPr="008921E2" w:rsidRDefault="2A9278A2" w:rsidP="008921E2">
            <w:pPr>
              <w:pStyle w:val="TableText"/>
              <w:jc w:val="center"/>
            </w:pPr>
            <w:r>
              <w:t>x/NO</w:t>
            </w:r>
          </w:p>
        </w:tc>
        <w:tc>
          <w:tcPr>
            <w:tcW w:w="1134" w:type="dxa"/>
            <w:vAlign w:val="center"/>
          </w:tcPr>
          <w:p w14:paraId="32C94041" w14:textId="77777777" w:rsidR="00773F38" w:rsidRPr="008921E2" w:rsidRDefault="00773F38" w:rsidP="008921E2">
            <w:pPr>
              <w:pStyle w:val="TableText"/>
              <w:jc w:val="center"/>
            </w:pPr>
          </w:p>
        </w:tc>
        <w:tc>
          <w:tcPr>
            <w:tcW w:w="1843" w:type="dxa"/>
            <w:vAlign w:val="center"/>
          </w:tcPr>
          <w:p w14:paraId="6DB2BB47" w14:textId="77777777" w:rsidR="00773F38" w:rsidRPr="008921E2" w:rsidRDefault="00773F38" w:rsidP="008921E2">
            <w:pPr>
              <w:pStyle w:val="TableText"/>
              <w:jc w:val="center"/>
            </w:pPr>
          </w:p>
        </w:tc>
      </w:tr>
      <w:tr w:rsidR="00773F38" w:rsidRPr="00274C5E" w14:paraId="30800805" w14:textId="77777777" w:rsidTr="2A9278A2">
        <w:tc>
          <w:tcPr>
            <w:tcW w:w="998" w:type="dxa"/>
            <w:shd w:val="clear" w:color="auto" w:fill="E0E0E0"/>
            <w:noWrap/>
            <w:vAlign w:val="center"/>
          </w:tcPr>
          <w:p w14:paraId="0C70D437" w14:textId="77777777" w:rsidR="00773F38" w:rsidRPr="00274C5E" w:rsidRDefault="2A9278A2" w:rsidP="00AC57A7">
            <w:pPr>
              <w:pStyle w:val="TableText"/>
            </w:pPr>
            <w:r>
              <w:t>2J</w:t>
            </w:r>
          </w:p>
        </w:tc>
        <w:tc>
          <w:tcPr>
            <w:tcW w:w="3402" w:type="dxa"/>
            <w:shd w:val="clear" w:color="auto" w:fill="E0E0E0"/>
            <w:vAlign w:val="center"/>
          </w:tcPr>
          <w:p w14:paraId="5F8A0471" w14:textId="77777777" w:rsidR="00773F38" w:rsidRPr="00274C5E" w:rsidRDefault="2A9278A2" w:rsidP="00AC57A7">
            <w:pPr>
              <w:pStyle w:val="TableText"/>
            </w:pPr>
            <w:r>
              <w:t>Production of POPs</w:t>
            </w:r>
          </w:p>
        </w:tc>
        <w:tc>
          <w:tcPr>
            <w:tcW w:w="1134" w:type="dxa"/>
            <w:vAlign w:val="center"/>
          </w:tcPr>
          <w:p w14:paraId="4CD9414F" w14:textId="2DC6C0D4" w:rsidR="00773F38" w:rsidRPr="008921E2" w:rsidRDefault="2A9278A2" w:rsidP="008921E2">
            <w:pPr>
              <w:pStyle w:val="TableText"/>
              <w:jc w:val="center"/>
            </w:pPr>
            <w:r>
              <w:t>NO</w:t>
            </w:r>
          </w:p>
        </w:tc>
        <w:tc>
          <w:tcPr>
            <w:tcW w:w="1134" w:type="dxa"/>
            <w:vAlign w:val="center"/>
          </w:tcPr>
          <w:p w14:paraId="45AB60DF" w14:textId="77777777" w:rsidR="00773F38" w:rsidRPr="008921E2" w:rsidRDefault="00773F38" w:rsidP="008921E2">
            <w:pPr>
              <w:pStyle w:val="TableText"/>
              <w:jc w:val="center"/>
            </w:pPr>
          </w:p>
        </w:tc>
        <w:tc>
          <w:tcPr>
            <w:tcW w:w="1843" w:type="dxa"/>
            <w:vAlign w:val="center"/>
          </w:tcPr>
          <w:p w14:paraId="5AB01770" w14:textId="77777777" w:rsidR="00773F38" w:rsidRPr="008921E2" w:rsidRDefault="00773F38" w:rsidP="008921E2">
            <w:pPr>
              <w:pStyle w:val="TableText"/>
              <w:jc w:val="center"/>
            </w:pPr>
          </w:p>
        </w:tc>
      </w:tr>
      <w:tr w:rsidR="00773F38" w:rsidRPr="00274C5E" w14:paraId="043F086E" w14:textId="77777777" w:rsidTr="2A9278A2">
        <w:tc>
          <w:tcPr>
            <w:tcW w:w="998" w:type="dxa"/>
            <w:shd w:val="clear" w:color="auto" w:fill="E0E0E0"/>
            <w:noWrap/>
            <w:vAlign w:val="center"/>
          </w:tcPr>
          <w:p w14:paraId="3AC0639C" w14:textId="77777777" w:rsidR="00773F38" w:rsidRPr="00274C5E" w:rsidRDefault="2A9278A2" w:rsidP="00AC57A7">
            <w:pPr>
              <w:pStyle w:val="TableText"/>
            </w:pPr>
            <w:r>
              <w:t>2K</w:t>
            </w:r>
          </w:p>
        </w:tc>
        <w:tc>
          <w:tcPr>
            <w:tcW w:w="3402" w:type="dxa"/>
            <w:shd w:val="clear" w:color="auto" w:fill="E0E0E0"/>
            <w:vAlign w:val="center"/>
          </w:tcPr>
          <w:p w14:paraId="01BA2F91" w14:textId="77777777" w:rsidR="00773F38" w:rsidRPr="00274C5E" w:rsidRDefault="2A9278A2" w:rsidP="00EF0DEB">
            <w:pPr>
              <w:pStyle w:val="TableText"/>
            </w:pPr>
            <w:r>
              <w:t>Consumption of POPs and heavy metals (e.g. electrical and scientific equipment)</w:t>
            </w:r>
          </w:p>
        </w:tc>
        <w:tc>
          <w:tcPr>
            <w:tcW w:w="1134" w:type="dxa"/>
            <w:vAlign w:val="center"/>
          </w:tcPr>
          <w:p w14:paraId="5EBF839F" w14:textId="0D59B5AE" w:rsidR="00773F38" w:rsidRPr="008921E2" w:rsidRDefault="2A9278A2" w:rsidP="008921E2">
            <w:pPr>
              <w:pStyle w:val="TableText"/>
              <w:jc w:val="center"/>
            </w:pPr>
            <w:r>
              <w:t>x/NO</w:t>
            </w:r>
          </w:p>
        </w:tc>
        <w:tc>
          <w:tcPr>
            <w:tcW w:w="1134" w:type="dxa"/>
            <w:vAlign w:val="center"/>
          </w:tcPr>
          <w:p w14:paraId="74296292" w14:textId="77777777" w:rsidR="00773F38" w:rsidRPr="008921E2" w:rsidRDefault="00773F38" w:rsidP="008921E2">
            <w:pPr>
              <w:pStyle w:val="TableText"/>
              <w:jc w:val="center"/>
            </w:pPr>
          </w:p>
        </w:tc>
        <w:tc>
          <w:tcPr>
            <w:tcW w:w="1843" w:type="dxa"/>
            <w:vAlign w:val="center"/>
          </w:tcPr>
          <w:p w14:paraId="72B77CE3" w14:textId="7B0E97BE" w:rsidR="00773F38" w:rsidRPr="008921E2" w:rsidRDefault="2A9278A2" w:rsidP="008921E2">
            <w:pPr>
              <w:pStyle w:val="TableText"/>
              <w:jc w:val="center"/>
            </w:pPr>
            <w:r>
              <w:t>x</w:t>
            </w:r>
          </w:p>
        </w:tc>
      </w:tr>
      <w:tr w:rsidR="00773F38" w:rsidRPr="00274C5E" w14:paraId="45133903" w14:textId="77777777" w:rsidTr="2A9278A2">
        <w:tc>
          <w:tcPr>
            <w:tcW w:w="998" w:type="dxa"/>
            <w:shd w:val="clear" w:color="auto" w:fill="E0E0E0"/>
            <w:noWrap/>
            <w:vAlign w:val="center"/>
          </w:tcPr>
          <w:p w14:paraId="01331019" w14:textId="77777777" w:rsidR="00773F38" w:rsidRPr="00274C5E" w:rsidRDefault="2A9278A2" w:rsidP="00AC57A7">
            <w:pPr>
              <w:pStyle w:val="TableText"/>
            </w:pPr>
            <w:r>
              <w:t>2L</w:t>
            </w:r>
          </w:p>
        </w:tc>
        <w:tc>
          <w:tcPr>
            <w:tcW w:w="3402" w:type="dxa"/>
            <w:shd w:val="clear" w:color="auto" w:fill="E0E0E0"/>
            <w:vAlign w:val="center"/>
          </w:tcPr>
          <w:p w14:paraId="1EFD4209" w14:textId="77777777" w:rsidR="00773F38" w:rsidRPr="00274C5E" w:rsidRDefault="2A9278A2" w:rsidP="00EF0DEB">
            <w:pPr>
              <w:pStyle w:val="TableText"/>
            </w:pPr>
            <w:r>
              <w:t>Other production, consumption, storage, transportation or handling of bulk products</w:t>
            </w:r>
          </w:p>
        </w:tc>
        <w:tc>
          <w:tcPr>
            <w:tcW w:w="1134" w:type="dxa"/>
            <w:vAlign w:val="center"/>
          </w:tcPr>
          <w:p w14:paraId="74DB1A86" w14:textId="493EEF37" w:rsidR="00773F38" w:rsidRPr="008921E2" w:rsidRDefault="2A9278A2" w:rsidP="008921E2">
            <w:pPr>
              <w:pStyle w:val="TableText"/>
              <w:jc w:val="center"/>
            </w:pPr>
            <w:r>
              <w:t>NO</w:t>
            </w:r>
          </w:p>
        </w:tc>
        <w:tc>
          <w:tcPr>
            <w:tcW w:w="1134" w:type="dxa"/>
            <w:vAlign w:val="center"/>
          </w:tcPr>
          <w:p w14:paraId="1495886C" w14:textId="77777777" w:rsidR="00773F38" w:rsidRPr="008921E2" w:rsidRDefault="00773F38" w:rsidP="008921E2">
            <w:pPr>
              <w:pStyle w:val="TableText"/>
              <w:jc w:val="center"/>
            </w:pPr>
          </w:p>
        </w:tc>
        <w:tc>
          <w:tcPr>
            <w:tcW w:w="1843" w:type="dxa"/>
            <w:vAlign w:val="center"/>
          </w:tcPr>
          <w:p w14:paraId="479F4B29" w14:textId="77777777" w:rsidR="00773F38" w:rsidRPr="008921E2" w:rsidRDefault="00773F38" w:rsidP="008921E2">
            <w:pPr>
              <w:pStyle w:val="TableText"/>
              <w:jc w:val="center"/>
            </w:pPr>
          </w:p>
        </w:tc>
      </w:tr>
      <w:tr w:rsidR="00773F38" w:rsidRPr="00274C5E" w14:paraId="5E73C25F" w14:textId="77777777" w:rsidTr="2A9278A2">
        <w:tc>
          <w:tcPr>
            <w:tcW w:w="8511" w:type="dxa"/>
            <w:gridSpan w:val="5"/>
            <w:shd w:val="clear" w:color="auto" w:fill="E0E0E0"/>
            <w:noWrap/>
            <w:vAlign w:val="center"/>
          </w:tcPr>
          <w:p w14:paraId="0D7F0F1F" w14:textId="77777777" w:rsidR="00773F38" w:rsidRPr="00274C5E" w:rsidRDefault="2A9278A2" w:rsidP="2A9278A2">
            <w:pPr>
              <w:pStyle w:val="TableText"/>
              <w:rPr>
                <w:rFonts w:eastAsia="Arial Unicode MS"/>
              </w:rPr>
            </w:pPr>
            <w:r>
              <w:t>Note: Where a sector has been partially reviewed (e.g. some of the NFR codes please indicate which have and which have not in the respective columns.</w:t>
            </w:r>
          </w:p>
        </w:tc>
      </w:tr>
    </w:tbl>
    <w:p w14:paraId="19F49380" w14:textId="77777777" w:rsidR="00773F38" w:rsidRPr="00274C5E" w:rsidRDefault="2A9278A2" w:rsidP="00056DF4">
      <w:pPr>
        <w:pStyle w:val="berschrift4"/>
      </w:pPr>
      <w:r>
        <w:lastRenderedPageBreak/>
        <w:t>General recommendations on cross cutting issues</w:t>
      </w:r>
    </w:p>
    <w:p w14:paraId="521FB4F2" w14:textId="77777777" w:rsidR="000404AB" w:rsidRPr="00C64C51" w:rsidRDefault="2A9278A2" w:rsidP="00632720">
      <w:pPr>
        <w:pStyle w:val="berschrift5"/>
      </w:pPr>
      <w:r w:rsidRPr="00C64C51">
        <w:t>Transparency</w:t>
      </w:r>
    </w:p>
    <w:p w14:paraId="073122F7" w14:textId="14C3EF33" w:rsidR="4CAD893A" w:rsidRPr="00C64C51" w:rsidRDefault="2A9278A2" w:rsidP="007F5740">
      <w:pPr>
        <w:pStyle w:val="RegPara"/>
      </w:pPr>
      <w:r w:rsidRPr="00C64C51">
        <w:rPr>
          <w:rFonts w:eastAsia="Arial"/>
        </w:rPr>
        <w:t>The ERT considers Montenegro’s emissions inventory for the Industrial processes sector to be generally transparent and notes that it comprises of the NFR19 tables for the period 1990 – 2019 and the Informative Inventory Report (IIR) that follows recommended structure of Annex II to the Reporting Guidelines.</w:t>
      </w:r>
    </w:p>
    <w:p w14:paraId="40DB75F1" w14:textId="12808C07" w:rsidR="4CAD893A" w:rsidRPr="00C64C51" w:rsidRDefault="2A9278A2" w:rsidP="007F5740">
      <w:pPr>
        <w:pStyle w:val="RegPara"/>
      </w:pPr>
      <w:r w:rsidRPr="00C64C51">
        <w:t>Montenegro reports activity data in NFR tables and in the IIR. The ERT commends Montenegro on this and recommends Montenegro on further improvements regarding activity data as indicated in the Sub-Sector Specific Recommendations.</w:t>
      </w:r>
    </w:p>
    <w:p w14:paraId="317F0912" w14:textId="3D959403" w:rsidR="4CAD893A" w:rsidRPr="00C64C51" w:rsidRDefault="2A9278A2" w:rsidP="007F5740">
      <w:pPr>
        <w:pStyle w:val="RegPara"/>
      </w:pPr>
      <w:r w:rsidRPr="00C64C51">
        <w:rPr>
          <w:rFonts w:eastAsia="Arial"/>
        </w:rPr>
        <w:t>The ERT notes that the methodology, emissions factors, and activity data are well documented in the IIR, and that Guidebook version 2019 is used for estimating emissions and that no country-specific methods are used. However, reasons for dips and jumps in the time series are not always included in the IIR. The ERT recommends Montenegro to include missing trends descriptions in the IIR to the next submission as indicated in the Sub-Sector Specific Recommendations.</w:t>
      </w:r>
    </w:p>
    <w:p w14:paraId="431AFFE3" w14:textId="5479E90B" w:rsidR="4CAD893A" w:rsidRPr="00C64C51" w:rsidRDefault="2A9278A2" w:rsidP="007F5740">
      <w:pPr>
        <w:pStyle w:val="RegPara"/>
      </w:pPr>
      <w:r w:rsidRPr="00C64C51">
        <w:rPr>
          <w:rFonts w:eastAsia="Arial"/>
        </w:rPr>
        <w:t>The ERT notes that the notation keys are frequently used across the IIR and reporting tables when reporting the emissions and activity data within the Industrial processes sector and that the notation keys used are not always the appropriate ones. The ERT recommends Montenegro to use the notation keys in line with Reporting Guidelines paragraph 12 for the reporting of emissions and activity data. The ERT also recommends Montenegro to clearly explain the usage of notation keys in the IIR for each of source category for which Montenegro uses “NE”, “NA” and “NO”.</w:t>
      </w:r>
    </w:p>
    <w:p w14:paraId="5227C785" w14:textId="77777777" w:rsidR="000404AB" w:rsidRPr="00C64C51" w:rsidRDefault="2A9278A2" w:rsidP="00632720">
      <w:pPr>
        <w:pStyle w:val="berschrift5"/>
      </w:pPr>
      <w:r w:rsidRPr="00C64C51">
        <w:t>Completeness</w:t>
      </w:r>
    </w:p>
    <w:p w14:paraId="2DFE263C" w14:textId="27724EF4" w:rsidR="4CAD893A" w:rsidRPr="00C64C51" w:rsidRDefault="2A9278A2" w:rsidP="007F5740">
      <w:pPr>
        <w:pStyle w:val="RegPara"/>
      </w:pPr>
      <w:r w:rsidRPr="00C64C51">
        <w:rPr>
          <w:rFonts w:eastAsia="Arial"/>
        </w:rPr>
        <w:t xml:space="preserve">The ERT considers the Industrial processes inventory to be partly complete, and with many planned improvements reported in the IIR. </w:t>
      </w:r>
    </w:p>
    <w:p w14:paraId="7634C1FC" w14:textId="4E84FAFF" w:rsidR="4CAD893A" w:rsidRPr="00C64C51" w:rsidRDefault="2A9278A2" w:rsidP="007F5740">
      <w:pPr>
        <w:pStyle w:val="RegPara"/>
      </w:pPr>
      <w:r w:rsidRPr="00C64C51">
        <w:rPr>
          <w:rFonts w:eastAsia="Arial"/>
        </w:rPr>
        <w:t>In the 2021 submission, Montenegro has reported emissions for the whole historic trend (1990-2019) for the Industrial process sector for categories: 2.A.2 Lime production, 2.A.5.a Quarrying and mining of minerals other than coal, 2.C.1 Iron and steel production, 2.C.3 Aluminium production, and 2.H.2 Food and beverages industry.</w:t>
      </w:r>
    </w:p>
    <w:p w14:paraId="7A752754" w14:textId="5A7EE4BB" w:rsidR="4CAD893A" w:rsidRPr="00C64C51" w:rsidRDefault="2A9278A2" w:rsidP="007F5740">
      <w:pPr>
        <w:pStyle w:val="RegPara"/>
      </w:pPr>
      <w:r w:rsidRPr="00C64C51">
        <w:rPr>
          <w:rFonts w:eastAsia="Arial"/>
        </w:rPr>
        <w:t>Regarding pollutants ERT considers the Industrial process sector to be partly complete, and with many planned improvements reported in the IIR (e.g., NFRs 2.A.5.b Construction and demolition, 2.D.3.b Road paving with asphalt, 2.D.3.c Asphalt roofing), however with places for some additional improvements (e.g., NFR 2.K) as explained under the Sub-Sector Specific Recommendations.</w:t>
      </w:r>
    </w:p>
    <w:p w14:paraId="7A61BB61" w14:textId="2429A058" w:rsidR="4CAD893A" w:rsidRPr="00C64C51" w:rsidRDefault="2A9278A2" w:rsidP="007F5740">
      <w:pPr>
        <w:pStyle w:val="RegPara"/>
      </w:pPr>
      <w:r w:rsidRPr="00C64C51">
        <w:rPr>
          <w:rFonts w:eastAsia="Arial"/>
        </w:rPr>
        <w:t>The ERT commends Montenegro for including black carbon emissions for the whole time series in the relevant source categories of the Industrial processes sector.</w:t>
      </w:r>
    </w:p>
    <w:p w14:paraId="73ABCC96" w14:textId="77777777" w:rsidR="000404AB" w:rsidRPr="00C64C51" w:rsidRDefault="2A9278A2" w:rsidP="00632720">
      <w:pPr>
        <w:pStyle w:val="berschrift5"/>
      </w:pPr>
      <w:r w:rsidRPr="00C64C51">
        <w:t>Consistency including recalculation and time series</w:t>
      </w:r>
    </w:p>
    <w:p w14:paraId="20638EC4" w14:textId="7313999B" w:rsidR="4CAD893A" w:rsidRPr="00C64C51" w:rsidRDefault="2A9278A2" w:rsidP="007F5740">
      <w:pPr>
        <w:pStyle w:val="RegPara"/>
      </w:pPr>
      <w:r w:rsidRPr="00C64C51">
        <w:rPr>
          <w:rFonts w:eastAsia="Arial"/>
        </w:rPr>
        <w:t>The emission trends and activity data trend are in general consistent. However, during the review, the ERT identified some outliers out of which Montenegro explained all. The ERT recommends Montenegro to include detailed explanations for all outliers in the time series for activity data and emissions in the next IIR.</w:t>
      </w:r>
    </w:p>
    <w:p w14:paraId="63AD191A" w14:textId="5E9B095D" w:rsidR="4CAD893A" w:rsidRPr="00C64C51" w:rsidRDefault="2A9278A2" w:rsidP="007F5740">
      <w:pPr>
        <w:pStyle w:val="RegPara"/>
      </w:pPr>
      <w:r w:rsidRPr="00C64C51">
        <w:rPr>
          <w:rFonts w:eastAsia="Arial"/>
        </w:rPr>
        <w:lastRenderedPageBreak/>
        <w:t>The ERT notes that Montenegro has performed recalculations and other changes for some pollutants emissions, source categories or years in the latest submission for the Industrial processes sector and documented the rationale and the impacts on the sector and emission trends in the IIR. The ERT commends Montenegro on this and recommends to further improve reporting of information on future recalculations and other changes made to the Industrial Processes sector such as the rationale, the impact on the sector and the implications for emission trends in the next IIR.</w:t>
      </w:r>
    </w:p>
    <w:p w14:paraId="049E3F3B" w14:textId="77777777" w:rsidR="000404AB" w:rsidRPr="00C64C51" w:rsidRDefault="2A9278A2" w:rsidP="00632720">
      <w:pPr>
        <w:pStyle w:val="berschrift5"/>
      </w:pPr>
      <w:r w:rsidRPr="00C64C51">
        <w:t>Comparability</w:t>
      </w:r>
    </w:p>
    <w:p w14:paraId="518E074E" w14:textId="48BB0BF0" w:rsidR="4CAD893A" w:rsidRPr="00C64C51" w:rsidRDefault="2A9278A2" w:rsidP="007F5740">
      <w:pPr>
        <w:pStyle w:val="RegPara"/>
      </w:pPr>
      <w:r w:rsidRPr="00C64C51">
        <w:rPr>
          <w:rFonts w:eastAsia="Arial"/>
        </w:rPr>
        <w:t>The ERT found the inventory of Montenegro to be comparable with those of other reporting Parties. Montenegro reports emissions in the NFR2019 table and uses Guidebook version 2019 for estimating emissions and does not use country-specific methods.</w:t>
      </w:r>
    </w:p>
    <w:p w14:paraId="4A038443" w14:textId="77777777" w:rsidR="000404AB" w:rsidRPr="002D4DBA" w:rsidRDefault="2A9278A2" w:rsidP="00632720">
      <w:pPr>
        <w:pStyle w:val="berschrift5"/>
      </w:pPr>
      <w:r>
        <w:t>Accuracy and uncertainties</w:t>
      </w:r>
    </w:p>
    <w:p w14:paraId="08B576EC" w14:textId="75E4AD37" w:rsidR="000404AB" w:rsidRPr="00E216B2" w:rsidRDefault="2A9278A2" w:rsidP="007F5740">
      <w:pPr>
        <w:pStyle w:val="RegPara"/>
        <w:rPr>
          <w:b/>
          <w:bCs/>
        </w:rPr>
      </w:pPr>
      <w:r w:rsidRPr="00E216B2">
        <w:rPr>
          <w:rFonts w:eastAsia="Arial"/>
        </w:rPr>
        <w:t>The ERT found possible overestimates and underestimation of which some are because of missing emissions as explained under Sub-Sector sector-specific recommendations.</w:t>
      </w:r>
      <w:r w:rsidRPr="00E216B2">
        <w:t xml:space="preserve"> </w:t>
      </w:r>
    </w:p>
    <w:p w14:paraId="5A9A4155" w14:textId="2AE4A7F0" w:rsidR="4CAD893A" w:rsidRPr="00E216B2" w:rsidRDefault="2A9278A2" w:rsidP="007F5740">
      <w:pPr>
        <w:pStyle w:val="RegPara"/>
        <w:rPr>
          <w:b/>
          <w:bCs/>
        </w:rPr>
      </w:pPr>
      <w:r w:rsidRPr="00E216B2">
        <w:rPr>
          <w:rFonts w:eastAsia="Arial"/>
        </w:rPr>
        <w:t>The ERT notes that Montenegro uses the T2 for all key categories for which emissions have been estimated.</w:t>
      </w:r>
    </w:p>
    <w:p w14:paraId="733FE44E" w14:textId="2B7EDAF1" w:rsidR="4CAD893A" w:rsidRPr="00C64C51" w:rsidRDefault="2A9278A2" w:rsidP="007F5740">
      <w:pPr>
        <w:pStyle w:val="RegPara"/>
        <w:rPr>
          <w:b/>
          <w:bCs/>
        </w:rPr>
      </w:pPr>
      <w:r w:rsidRPr="00C64C51">
        <w:rPr>
          <w:rFonts w:eastAsia="Arial"/>
        </w:rPr>
        <w:t>Montenegro provided a description of the Quality management system in the IIR including QA/QC checks for the Industrial processes sector. The ERT commends Montenegro on its general QA/QC activities and recommends Montenegro to include some additional QC checks to avoid e.g. typo errors as explained under Sub-Sector sector-specific recommendations.</w:t>
      </w:r>
    </w:p>
    <w:p w14:paraId="6F884E5C" w14:textId="50A5472E" w:rsidR="4CAD893A" w:rsidRPr="00C64C51" w:rsidRDefault="2A9278A2" w:rsidP="007F5740">
      <w:pPr>
        <w:pStyle w:val="RegPara"/>
        <w:rPr>
          <w:b/>
          <w:bCs/>
        </w:rPr>
      </w:pPr>
      <w:r w:rsidRPr="00C64C51">
        <w:rPr>
          <w:rFonts w:eastAsia="Arial"/>
        </w:rPr>
        <w:t>Montenegro provided a quantitative a source-specific uncertainty analysis for the Industrial processes sector. The ERT commends Montenegro on its quantitative uncertainty analysis.</w:t>
      </w:r>
    </w:p>
    <w:p w14:paraId="771BB71D" w14:textId="77777777" w:rsidR="004433D1" w:rsidRPr="00C64C51" w:rsidRDefault="2A9278A2" w:rsidP="00632720">
      <w:pPr>
        <w:pStyle w:val="berschrift5"/>
      </w:pPr>
      <w:r w:rsidRPr="00C64C51">
        <w:t xml:space="preserve">Condensable </w:t>
      </w:r>
    </w:p>
    <w:p w14:paraId="12EB2AFC" w14:textId="545FD120" w:rsidR="4CAD893A" w:rsidRPr="00C64C51" w:rsidRDefault="2A9278A2" w:rsidP="007F5740">
      <w:pPr>
        <w:pStyle w:val="RegPara"/>
      </w:pPr>
      <w:r w:rsidRPr="00C64C51">
        <w:rPr>
          <w:rFonts w:eastAsia="Arial"/>
        </w:rPr>
        <w:t>Montenegro does not provide explanatory information in the IIR on whether particle emissions include or exclude the condensable component. The ERT recommends that Montenegro includes such information in the next submission following Annex II of the 2014 Reporting Guidelines.</w:t>
      </w:r>
    </w:p>
    <w:p w14:paraId="140FD005" w14:textId="77777777" w:rsidR="000404AB" w:rsidRPr="00C64C51" w:rsidRDefault="2A9278A2" w:rsidP="00632720">
      <w:pPr>
        <w:pStyle w:val="berschrift5"/>
      </w:pPr>
      <w:r w:rsidRPr="00C64C51">
        <w:t>Improvement</w:t>
      </w:r>
    </w:p>
    <w:p w14:paraId="4CD9711C" w14:textId="4C53567D" w:rsidR="4CAD893A" w:rsidRPr="00C64C51" w:rsidRDefault="2A9278A2" w:rsidP="007F5740">
      <w:pPr>
        <w:pStyle w:val="RegPara"/>
      </w:pPr>
      <w:r w:rsidRPr="00C64C51">
        <w:t xml:space="preserve">According to the IIR, Montenegro has implemented many improvements (for categories NFR 2.A.2 for the period 1990-2011 they applied Guidebook 2019, used of default Tier 1 EFs of Guidebook 2019, and revised activity data, for categories NFR 2.A.5.a and 2.H.2 for the period 1990-2019 they applied Guidebook 2019, used of default Tier 1 EFs of Guidebook 2019, and revised activity data, for categories NFR 2.C.1 and 2.C.3 for the period 1990-2019 they applied Guidebook 2019, used of default Tier 2 EFs of Guidebook 2019, and revised activity data) and has in the improvement plan for the next period (for category NFR 2.A.2 a plan is further investigation of the drop in Lime production in 2010, for category NFR 2.A.5.a a plan is to include activity </w:t>
      </w:r>
      <w:r w:rsidRPr="00C64C51">
        <w:lastRenderedPageBreak/>
        <w:t xml:space="preserve">data on crushed stones, marvel, pebbles etc. for years before 2010 by estimated them with the use of economic parameters, for categories NFR 2.C.1 and 2.C.3 a plan is to move from T2 to T3 for historic trend, for categories NFR 2.D.3.b and 2.D.3.c for the historic trend a plan is to calculate emissions based on the recommended methodologies and explore new data sources, for the category NFR 2.H.2 a plan is to search in international sources for production data of bread, beer, wine and spirits in the year 2000). </w:t>
      </w:r>
    </w:p>
    <w:p w14:paraId="6BCF6B66" w14:textId="604687A9" w:rsidR="4CAD893A" w:rsidRPr="00C64C51" w:rsidRDefault="2A9278A2" w:rsidP="007F5740">
      <w:pPr>
        <w:pStyle w:val="RegPara"/>
      </w:pPr>
      <w:r w:rsidRPr="00C64C51">
        <w:rPr>
          <w:rFonts w:eastAsia="Arial"/>
        </w:rPr>
        <w:t>During the review, the ERT identified some further needs for improvement as explained under Sub-Sector Specific Recommendations.</w:t>
      </w:r>
    </w:p>
    <w:p w14:paraId="49C6C793" w14:textId="25CB5E36" w:rsidR="00056DF4" w:rsidRDefault="2A9278A2" w:rsidP="00A940A7">
      <w:pPr>
        <w:pStyle w:val="berschrift4"/>
        <w:jc w:val="both"/>
      </w:pPr>
      <w:r w:rsidRPr="00C64C51">
        <w:t>Potential Technical Corrections</w:t>
      </w:r>
    </w:p>
    <w:p w14:paraId="05EA0447" w14:textId="77777777" w:rsidR="00632720" w:rsidRPr="00632720" w:rsidRDefault="00632720" w:rsidP="00632720"/>
    <w:p w14:paraId="1E190C50" w14:textId="1A9908EA" w:rsidR="007F5740" w:rsidRPr="00632720" w:rsidRDefault="2A9278A2" w:rsidP="007F5740">
      <w:pPr>
        <w:pStyle w:val="RegPara"/>
        <w:rPr>
          <w:rFonts w:eastAsia="Arial"/>
        </w:rPr>
      </w:pPr>
      <w:r w:rsidRPr="00C64C51">
        <w:rPr>
          <w:rFonts w:eastAsia="Arial"/>
        </w:rPr>
        <w:t xml:space="preserve">The ERT has noted possible underestimations as listed below for which Montenegro provided revised estimates of which one (for NFR 2.K) was not accepted by the ERT, and the ERT prepared technical corrections. Montenegro used annual population statistics and production statistics (source: Statistical Yearbooks, Statistical Office of Montenegro - MONSTAT) as activity data and emission factors as recommended in the 2019 version of the Guidebook. The ERT used Montenegro’s population in 2005, 2010 and 2019 as activity data (source: </w:t>
      </w:r>
      <w:hyperlink r:id="rId12" w:history="1">
        <w:r w:rsidR="007F5740" w:rsidRPr="002F0168">
          <w:rPr>
            <w:rStyle w:val="Hyperlink"/>
            <w:rFonts w:eastAsia="Arial"/>
          </w:rPr>
          <w:t>http://data.worldbank.org/indicator/SP.POP.TOTL</w:t>
        </w:r>
      </w:hyperlink>
      <w:r w:rsidR="007F5740">
        <w:rPr>
          <w:rFonts w:eastAsia="Arial"/>
        </w:rPr>
        <w:t xml:space="preserve"> </w:t>
      </w:r>
      <w:r w:rsidRPr="00C64C51">
        <w:rPr>
          <w:rFonts w:eastAsia="Arial"/>
        </w:rPr>
        <w:t>), and emission factors recommended in the 2019 version of the Guidebook. The ERT recommends that Montenegro applies the revised estimations and the calculated technical corrections proposed by the ERT to the following potential underestimates, or that it develops other methods that more accurately correspond to the conditions prevailing in Montenegro) to the following potential underestimates for the whole tim</w:t>
      </w:r>
      <w:r w:rsidR="007F5740">
        <w:rPr>
          <w:rFonts w:eastAsia="Arial"/>
        </w:rPr>
        <w:t>e series in the next submission</w:t>
      </w:r>
      <w:r w:rsidR="00C64C51">
        <w:rPr>
          <w:rFonts w:eastAsia="Arial"/>
        </w:rPr>
        <w:t xml:space="preserve"> </w:t>
      </w:r>
      <w:r w:rsidR="007F5740">
        <w:t>see table below.</w:t>
      </w:r>
      <w:r w:rsidRPr="00C64C51">
        <w:t xml:space="preserve"> </w:t>
      </w:r>
    </w:p>
    <w:p w14:paraId="7BF7B985" w14:textId="77777777" w:rsidR="00632720" w:rsidRPr="007F5740" w:rsidRDefault="00632720" w:rsidP="00632720">
      <w:pPr>
        <w:pStyle w:val="RegHead3"/>
        <w:rPr>
          <w:rFonts w:eastAsia="Arial"/>
        </w:rPr>
      </w:pPr>
    </w:p>
    <w:tbl>
      <w:tblPr>
        <w:tblStyle w:val="Tabellenraster"/>
        <w:tblW w:w="0" w:type="auto"/>
        <w:tblLook w:val="04A0" w:firstRow="1" w:lastRow="0" w:firstColumn="1" w:lastColumn="0" w:noHBand="0" w:noVBand="1"/>
      </w:tblPr>
      <w:tblGrid>
        <w:gridCol w:w="990"/>
        <w:gridCol w:w="1132"/>
        <w:gridCol w:w="1433"/>
        <w:gridCol w:w="1685"/>
        <w:gridCol w:w="3010"/>
      </w:tblGrid>
      <w:tr w:rsidR="007F5740" w:rsidRPr="00C64C51" w14:paraId="797305C7" w14:textId="77777777" w:rsidTr="007F5740">
        <w:trPr>
          <w:tblHeader/>
        </w:trPr>
        <w:tc>
          <w:tcPr>
            <w:tcW w:w="990" w:type="dxa"/>
            <w:shd w:val="clear" w:color="auto" w:fill="A6A6A6" w:themeFill="background1" w:themeFillShade="A6"/>
          </w:tcPr>
          <w:p w14:paraId="7121B525" w14:textId="77777777" w:rsidR="007F5740" w:rsidRPr="007F5740" w:rsidRDefault="007F5740" w:rsidP="0027042D">
            <w:pPr>
              <w:jc w:val="center"/>
              <w:rPr>
                <w:sz w:val="20"/>
              </w:rPr>
            </w:pPr>
            <w:r w:rsidRPr="007F5740">
              <w:rPr>
                <w:b/>
                <w:bCs/>
                <w:sz w:val="20"/>
                <w:lang w:val="de"/>
              </w:rPr>
              <w:t>NFR</w:t>
            </w:r>
          </w:p>
        </w:tc>
        <w:tc>
          <w:tcPr>
            <w:tcW w:w="1132" w:type="dxa"/>
            <w:shd w:val="clear" w:color="auto" w:fill="A6A6A6" w:themeFill="background1" w:themeFillShade="A6"/>
          </w:tcPr>
          <w:p w14:paraId="352F411B" w14:textId="77777777" w:rsidR="007F5740" w:rsidRPr="007F5740" w:rsidRDefault="007F5740" w:rsidP="0027042D">
            <w:pPr>
              <w:jc w:val="center"/>
              <w:rPr>
                <w:sz w:val="20"/>
              </w:rPr>
            </w:pPr>
            <w:r w:rsidRPr="007F5740">
              <w:rPr>
                <w:b/>
                <w:bCs/>
                <w:sz w:val="20"/>
                <w:lang w:val="de"/>
              </w:rPr>
              <w:t>Pollutant</w:t>
            </w:r>
          </w:p>
        </w:tc>
        <w:tc>
          <w:tcPr>
            <w:tcW w:w="1433" w:type="dxa"/>
            <w:shd w:val="clear" w:color="auto" w:fill="A6A6A6" w:themeFill="background1" w:themeFillShade="A6"/>
          </w:tcPr>
          <w:p w14:paraId="70E17B9A" w14:textId="77777777" w:rsidR="007F5740" w:rsidRPr="007F5740" w:rsidRDefault="007F5740" w:rsidP="0027042D">
            <w:pPr>
              <w:jc w:val="center"/>
              <w:rPr>
                <w:sz w:val="20"/>
              </w:rPr>
            </w:pPr>
            <w:r w:rsidRPr="007F5740">
              <w:rPr>
                <w:b/>
                <w:bCs/>
                <w:sz w:val="20"/>
                <w:lang w:val="de"/>
              </w:rPr>
              <w:t>Years</w:t>
            </w:r>
          </w:p>
        </w:tc>
        <w:tc>
          <w:tcPr>
            <w:tcW w:w="1685" w:type="dxa"/>
            <w:shd w:val="clear" w:color="auto" w:fill="A6A6A6" w:themeFill="background1" w:themeFillShade="A6"/>
          </w:tcPr>
          <w:p w14:paraId="154FB823" w14:textId="77777777" w:rsidR="007F5740" w:rsidRPr="007F5740" w:rsidRDefault="007F5740" w:rsidP="0027042D">
            <w:pPr>
              <w:jc w:val="center"/>
              <w:rPr>
                <w:sz w:val="20"/>
              </w:rPr>
            </w:pPr>
            <w:r w:rsidRPr="007F5740">
              <w:rPr>
                <w:b/>
                <w:bCs/>
                <w:sz w:val="20"/>
                <w:lang w:val="de"/>
              </w:rPr>
              <w:t>Calculated by Party/ ERT</w:t>
            </w:r>
          </w:p>
        </w:tc>
        <w:tc>
          <w:tcPr>
            <w:tcW w:w="3010" w:type="dxa"/>
            <w:shd w:val="clear" w:color="auto" w:fill="A6A6A6" w:themeFill="background1" w:themeFillShade="A6"/>
          </w:tcPr>
          <w:p w14:paraId="2E57CD7D" w14:textId="77777777" w:rsidR="007F5740" w:rsidRPr="007F5740" w:rsidRDefault="007F5740" w:rsidP="0027042D">
            <w:pPr>
              <w:jc w:val="center"/>
              <w:rPr>
                <w:sz w:val="20"/>
              </w:rPr>
            </w:pPr>
            <w:r w:rsidRPr="007F5740">
              <w:rPr>
                <w:b/>
                <w:bCs/>
                <w:sz w:val="20"/>
                <w:lang w:val="en-US"/>
              </w:rPr>
              <w:t>Potential contribution to national total</w:t>
            </w:r>
          </w:p>
        </w:tc>
      </w:tr>
      <w:tr w:rsidR="007F5740" w:rsidRPr="00C64C51" w14:paraId="1D5B7290" w14:textId="77777777" w:rsidTr="0027042D">
        <w:tc>
          <w:tcPr>
            <w:tcW w:w="990" w:type="dxa"/>
          </w:tcPr>
          <w:p w14:paraId="4CB1AD89" w14:textId="77777777" w:rsidR="007F5740" w:rsidRPr="007F5740" w:rsidRDefault="007F5740" w:rsidP="0027042D">
            <w:pPr>
              <w:jc w:val="center"/>
              <w:rPr>
                <w:sz w:val="20"/>
              </w:rPr>
            </w:pPr>
            <w:r w:rsidRPr="007F5740">
              <w:rPr>
                <w:sz w:val="20"/>
                <w:lang w:val="de"/>
              </w:rPr>
              <w:t>2.K</w:t>
            </w:r>
          </w:p>
        </w:tc>
        <w:tc>
          <w:tcPr>
            <w:tcW w:w="1132" w:type="dxa"/>
          </w:tcPr>
          <w:p w14:paraId="575B3F8D" w14:textId="77777777" w:rsidR="007F5740" w:rsidRPr="007F5740" w:rsidRDefault="007F5740" w:rsidP="0027042D">
            <w:pPr>
              <w:jc w:val="center"/>
              <w:rPr>
                <w:sz w:val="20"/>
              </w:rPr>
            </w:pPr>
            <w:r w:rsidRPr="007F5740">
              <w:rPr>
                <w:sz w:val="20"/>
                <w:lang w:val="de"/>
              </w:rPr>
              <w:t>Hg</w:t>
            </w:r>
          </w:p>
        </w:tc>
        <w:tc>
          <w:tcPr>
            <w:tcW w:w="1433" w:type="dxa"/>
          </w:tcPr>
          <w:p w14:paraId="62A1FBCE" w14:textId="77777777" w:rsidR="007F5740" w:rsidRPr="007F5740" w:rsidRDefault="007F5740" w:rsidP="0027042D">
            <w:pPr>
              <w:jc w:val="center"/>
              <w:rPr>
                <w:sz w:val="20"/>
              </w:rPr>
            </w:pPr>
            <w:r w:rsidRPr="007F5740">
              <w:rPr>
                <w:sz w:val="20"/>
                <w:lang w:val="de"/>
              </w:rPr>
              <w:t>2005, 2010, 2019</w:t>
            </w:r>
          </w:p>
        </w:tc>
        <w:tc>
          <w:tcPr>
            <w:tcW w:w="1685" w:type="dxa"/>
          </w:tcPr>
          <w:p w14:paraId="7B460A24" w14:textId="77777777" w:rsidR="007F5740" w:rsidRPr="007F5740" w:rsidRDefault="007F5740" w:rsidP="0027042D">
            <w:pPr>
              <w:jc w:val="center"/>
              <w:rPr>
                <w:sz w:val="20"/>
              </w:rPr>
            </w:pPr>
            <w:r w:rsidRPr="007F5740">
              <w:rPr>
                <w:sz w:val="20"/>
              </w:rPr>
              <w:t>ERT</w:t>
            </w:r>
          </w:p>
        </w:tc>
        <w:tc>
          <w:tcPr>
            <w:tcW w:w="3010" w:type="dxa"/>
          </w:tcPr>
          <w:p w14:paraId="48FFEE08" w14:textId="77777777" w:rsidR="007F5740" w:rsidRPr="007F5740" w:rsidRDefault="007F5740" w:rsidP="0027042D">
            <w:pPr>
              <w:jc w:val="center"/>
              <w:rPr>
                <w:sz w:val="20"/>
              </w:rPr>
            </w:pPr>
            <w:r w:rsidRPr="007F5740">
              <w:rPr>
                <w:sz w:val="20"/>
                <w:lang w:val="de"/>
              </w:rPr>
              <w:t>+11.3% (2019), +9.2% (2010), +12.2% (2005)</w:t>
            </w:r>
          </w:p>
        </w:tc>
      </w:tr>
      <w:tr w:rsidR="007F5740" w:rsidRPr="00C64C51" w14:paraId="2BB6DBB0" w14:textId="77777777" w:rsidTr="0027042D">
        <w:tc>
          <w:tcPr>
            <w:tcW w:w="990" w:type="dxa"/>
          </w:tcPr>
          <w:p w14:paraId="5846C6FE" w14:textId="77777777" w:rsidR="007F5740" w:rsidRPr="007F5740" w:rsidRDefault="007F5740" w:rsidP="0027042D">
            <w:pPr>
              <w:jc w:val="center"/>
              <w:rPr>
                <w:sz w:val="20"/>
              </w:rPr>
            </w:pPr>
            <w:r w:rsidRPr="007F5740">
              <w:rPr>
                <w:sz w:val="20"/>
                <w:lang w:val="de"/>
              </w:rPr>
              <w:t>2.K</w:t>
            </w:r>
          </w:p>
        </w:tc>
        <w:tc>
          <w:tcPr>
            <w:tcW w:w="1132" w:type="dxa"/>
          </w:tcPr>
          <w:p w14:paraId="2E4CDF75" w14:textId="77777777" w:rsidR="007F5740" w:rsidRPr="007F5740" w:rsidRDefault="007F5740" w:rsidP="0027042D">
            <w:pPr>
              <w:jc w:val="center"/>
              <w:rPr>
                <w:sz w:val="20"/>
              </w:rPr>
            </w:pPr>
            <w:r w:rsidRPr="007F5740">
              <w:rPr>
                <w:sz w:val="20"/>
                <w:lang w:val="de"/>
              </w:rPr>
              <w:t>PCBs</w:t>
            </w:r>
          </w:p>
        </w:tc>
        <w:tc>
          <w:tcPr>
            <w:tcW w:w="1433" w:type="dxa"/>
          </w:tcPr>
          <w:p w14:paraId="56255588" w14:textId="77777777" w:rsidR="007F5740" w:rsidRPr="007F5740" w:rsidRDefault="007F5740" w:rsidP="0027042D">
            <w:pPr>
              <w:jc w:val="center"/>
              <w:rPr>
                <w:sz w:val="20"/>
              </w:rPr>
            </w:pPr>
            <w:r w:rsidRPr="007F5740">
              <w:rPr>
                <w:sz w:val="20"/>
                <w:lang w:val="de"/>
              </w:rPr>
              <w:t>2005, 2010, 2019</w:t>
            </w:r>
          </w:p>
        </w:tc>
        <w:tc>
          <w:tcPr>
            <w:tcW w:w="1685" w:type="dxa"/>
          </w:tcPr>
          <w:p w14:paraId="714F2DED" w14:textId="77777777" w:rsidR="007F5740" w:rsidRPr="007F5740" w:rsidRDefault="007F5740" w:rsidP="0027042D">
            <w:pPr>
              <w:jc w:val="center"/>
              <w:rPr>
                <w:sz w:val="20"/>
              </w:rPr>
            </w:pPr>
            <w:r w:rsidRPr="007F5740">
              <w:rPr>
                <w:sz w:val="20"/>
              </w:rPr>
              <w:t>ERT</w:t>
            </w:r>
          </w:p>
        </w:tc>
        <w:tc>
          <w:tcPr>
            <w:tcW w:w="3010" w:type="dxa"/>
          </w:tcPr>
          <w:p w14:paraId="05A1D00B" w14:textId="77777777" w:rsidR="007F5740" w:rsidRPr="007F5740" w:rsidRDefault="007F5740" w:rsidP="0027042D">
            <w:pPr>
              <w:jc w:val="center"/>
              <w:rPr>
                <w:sz w:val="20"/>
              </w:rPr>
            </w:pPr>
            <w:r w:rsidRPr="007F5740">
              <w:rPr>
                <w:sz w:val="20"/>
                <w:lang w:val="de"/>
              </w:rPr>
              <w:t>+99.9% (2019), +99.9% (2010), +99.9% (2005)</w:t>
            </w:r>
          </w:p>
        </w:tc>
      </w:tr>
      <w:tr w:rsidR="007F5740" w:rsidRPr="00C64C51" w14:paraId="4F5508A4" w14:textId="77777777" w:rsidTr="0027042D">
        <w:tc>
          <w:tcPr>
            <w:tcW w:w="990" w:type="dxa"/>
          </w:tcPr>
          <w:p w14:paraId="2116B06D" w14:textId="77777777" w:rsidR="007F5740" w:rsidRPr="007F5740" w:rsidRDefault="007F5740" w:rsidP="0027042D">
            <w:pPr>
              <w:jc w:val="center"/>
              <w:rPr>
                <w:sz w:val="20"/>
              </w:rPr>
            </w:pPr>
            <w:r w:rsidRPr="007F5740">
              <w:rPr>
                <w:sz w:val="20"/>
                <w:lang w:val="de"/>
              </w:rPr>
              <w:t>2.D.3.b</w:t>
            </w:r>
          </w:p>
        </w:tc>
        <w:tc>
          <w:tcPr>
            <w:tcW w:w="1132" w:type="dxa"/>
          </w:tcPr>
          <w:p w14:paraId="7E7B15FE" w14:textId="77777777" w:rsidR="007F5740" w:rsidRPr="007F5740" w:rsidRDefault="007F5740" w:rsidP="0027042D">
            <w:pPr>
              <w:jc w:val="center"/>
              <w:rPr>
                <w:sz w:val="20"/>
              </w:rPr>
            </w:pPr>
            <w:r w:rsidRPr="007F5740">
              <w:rPr>
                <w:sz w:val="20"/>
                <w:lang w:val="de"/>
              </w:rPr>
              <w:t>NMVOC</w:t>
            </w:r>
          </w:p>
        </w:tc>
        <w:tc>
          <w:tcPr>
            <w:tcW w:w="1433" w:type="dxa"/>
          </w:tcPr>
          <w:p w14:paraId="5307ADA7" w14:textId="77777777" w:rsidR="007F5740" w:rsidRPr="007F5740" w:rsidRDefault="007F5740" w:rsidP="0027042D">
            <w:pPr>
              <w:jc w:val="center"/>
              <w:rPr>
                <w:sz w:val="20"/>
              </w:rPr>
            </w:pPr>
            <w:r w:rsidRPr="007F5740">
              <w:rPr>
                <w:sz w:val="20"/>
                <w:lang w:val="de"/>
              </w:rPr>
              <w:t>2005, 2010, 2019</w:t>
            </w:r>
          </w:p>
        </w:tc>
        <w:tc>
          <w:tcPr>
            <w:tcW w:w="1685" w:type="dxa"/>
          </w:tcPr>
          <w:p w14:paraId="689DCD96" w14:textId="77777777" w:rsidR="007F5740" w:rsidRPr="007F5740" w:rsidRDefault="007F5740" w:rsidP="0027042D">
            <w:pPr>
              <w:jc w:val="center"/>
              <w:rPr>
                <w:sz w:val="20"/>
              </w:rPr>
            </w:pPr>
            <w:r w:rsidRPr="007F5740">
              <w:rPr>
                <w:sz w:val="20"/>
              </w:rPr>
              <w:t>Montenegro</w:t>
            </w:r>
          </w:p>
        </w:tc>
        <w:tc>
          <w:tcPr>
            <w:tcW w:w="3010" w:type="dxa"/>
          </w:tcPr>
          <w:p w14:paraId="08E4DF3E" w14:textId="77777777" w:rsidR="007F5740" w:rsidRPr="007F5740" w:rsidRDefault="007F5740" w:rsidP="0027042D">
            <w:pPr>
              <w:jc w:val="center"/>
              <w:rPr>
                <w:sz w:val="20"/>
              </w:rPr>
            </w:pPr>
            <w:r w:rsidRPr="007F5740">
              <w:rPr>
                <w:sz w:val="20"/>
                <w:lang w:val="de"/>
              </w:rPr>
              <w:t>+0.04% (2019), +0.05% (2010), +0.01% (2005)</w:t>
            </w:r>
          </w:p>
        </w:tc>
      </w:tr>
      <w:tr w:rsidR="007F5740" w:rsidRPr="00C64C51" w14:paraId="0B3790E0" w14:textId="77777777" w:rsidTr="0027042D">
        <w:tc>
          <w:tcPr>
            <w:tcW w:w="990" w:type="dxa"/>
          </w:tcPr>
          <w:p w14:paraId="0C39617C" w14:textId="77777777" w:rsidR="007F5740" w:rsidRPr="007F5740" w:rsidRDefault="007F5740" w:rsidP="0027042D">
            <w:pPr>
              <w:jc w:val="center"/>
              <w:rPr>
                <w:sz w:val="20"/>
              </w:rPr>
            </w:pPr>
            <w:r w:rsidRPr="007F5740">
              <w:rPr>
                <w:sz w:val="20"/>
                <w:lang w:val="de"/>
              </w:rPr>
              <w:t>2.D.3.b</w:t>
            </w:r>
          </w:p>
        </w:tc>
        <w:tc>
          <w:tcPr>
            <w:tcW w:w="1132" w:type="dxa"/>
          </w:tcPr>
          <w:p w14:paraId="105D86BA" w14:textId="77777777" w:rsidR="007F5740" w:rsidRPr="007F5740" w:rsidRDefault="007F5740" w:rsidP="0027042D">
            <w:pPr>
              <w:jc w:val="center"/>
              <w:rPr>
                <w:sz w:val="20"/>
              </w:rPr>
            </w:pPr>
            <w:r w:rsidRPr="007F5740">
              <w:rPr>
                <w:sz w:val="20"/>
                <w:lang w:val="de"/>
              </w:rPr>
              <w:t>TSP</w:t>
            </w:r>
          </w:p>
        </w:tc>
        <w:tc>
          <w:tcPr>
            <w:tcW w:w="1433" w:type="dxa"/>
          </w:tcPr>
          <w:p w14:paraId="6F063548" w14:textId="77777777" w:rsidR="007F5740" w:rsidRPr="007F5740" w:rsidRDefault="007F5740" w:rsidP="0027042D">
            <w:pPr>
              <w:jc w:val="center"/>
              <w:rPr>
                <w:sz w:val="20"/>
              </w:rPr>
            </w:pPr>
            <w:r w:rsidRPr="007F5740">
              <w:rPr>
                <w:sz w:val="20"/>
                <w:lang w:val="de"/>
              </w:rPr>
              <w:t>2005, 2010, 2019</w:t>
            </w:r>
          </w:p>
        </w:tc>
        <w:tc>
          <w:tcPr>
            <w:tcW w:w="1685" w:type="dxa"/>
          </w:tcPr>
          <w:p w14:paraId="5C36EF56" w14:textId="77777777" w:rsidR="007F5740" w:rsidRPr="007F5740" w:rsidRDefault="007F5740" w:rsidP="0027042D">
            <w:pPr>
              <w:jc w:val="center"/>
              <w:rPr>
                <w:sz w:val="20"/>
              </w:rPr>
            </w:pPr>
            <w:r w:rsidRPr="007F5740">
              <w:rPr>
                <w:sz w:val="20"/>
              </w:rPr>
              <w:t>Montenegro</w:t>
            </w:r>
          </w:p>
        </w:tc>
        <w:tc>
          <w:tcPr>
            <w:tcW w:w="3010" w:type="dxa"/>
          </w:tcPr>
          <w:p w14:paraId="42888A89" w14:textId="77777777" w:rsidR="007F5740" w:rsidRPr="007F5740" w:rsidRDefault="007F5740" w:rsidP="0027042D">
            <w:pPr>
              <w:jc w:val="center"/>
              <w:rPr>
                <w:sz w:val="20"/>
              </w:rPr>
            </w:pPr>
            <w:r w:rsidRPr="007F5740">
              <w:rPr>
                <w:sz w:val="20"/>
                <w:lang w:val="de"/>
              </w:rPr>
              <w:t>+34.9% (2019), +38% (2010), +6.2% (2005)</w:t>
            </w:r>
          </w:p>
        </w:tc>
      </w:tr>
      <w:tr w:rsidR="007F5740" w:rsidRPr="00C64C51" w14:paraId="2F30DDF8" w14:textId="77777777" w:rsidTr="0027042D">
        <w:tc>
          <w:tcPr>
            <w:tcW w:w="990" w:type="dxa"/>
          </w:tcPr>
          <w:p w14:paraId="6DBD9273" w14:textId="77777777" w:rsidR="007F5740" w:rsidRPr="007F5740" w:rsidRDefault="007F5740" w:rsidP="0027042D">
            <w:pPr>
              <w:jc w:val="center"/>
              <w:rPr>
                <w:sz w:val="20"/>
              </w:rPr>
            </w:pPr>
            <w:r w:rsidRPr="007F5740">
              <w:rPr>
                <w:sz w:val="20"/>
                <w:lang w:val="de"/>
              </w:rPr>
              <w:t>2.D.3.b</w:t>
            </w:r>
          </w:p>
        </w:tc>
        <w:tc>
          <w:tcPr>
            <w:tcW w:w="1132" w:type="dxa"/>
          </w:tcPr>
          <w:p w14:paraId="1CA84502" w14:textId="77777777" w:rsidR="007F5740" w:rsidRPr="007F5740" w:rsidRDefault="007F5740" w:rsidP="0027042D">
            <w:pPr>
              <w:jc w:val="center"/>
              <w:rPr>
                <w:sz w:val="20"/>
              </w:rPr>
            </w:pPr>
            <w:r w:rsidRPr="007F5740">
              <w:rPr>
                <w:sz w:val="20"/>
              </w:rPr>
              <w:t>PM</w:t>
            </w:r>
            <w:r w:rsidRPr="00632720">
              <w:rPr>
                <w:sz w:val="20"/>
                <w:vertAlign w:val="subscript"/>
              </w:rPr>
              <w:t>10</w:t>
            </w:r>
          </w:p>
        </w:tc>
        <w:tc>
          <w:tcPr>
            <w:tcW w:w="1433" w:type="dxa"/>
          </w:tcPr>
          <w:p w14:paraId="7E6C21AF" w14:textId="77777777" w:rsidR="007F5740" w:rsidRPr="007F5740" w:rsidRDefault="007F5740" w:rsidP="0027042D">
            <w:pPr>
              <w:jc w:val="center"/>
              <w:rPr>
                <w:sz w:val="20"/>
              </w:rPr>
            </w:pPr>
            <w:r w:rsidRPr="007F5740">
              <w:rPr>
                <w:sz w:val="20"/>
                <w:lang w:val="de"/>
              </w:rPr>
              <w:t>2005, 2010, 2019</w:t>
            </w:r>
          </w:p>
        </w:tc>
        <w:tc>
          <w:tcPr>
            <w:tcW w:w="1685" w:type="dxa"/>
          </w:tcPr>
          <w:p w14:paraId="15552D1D" w14:textId="77777777" w:rsidR="007F5740" w:rsidRPr="007F5740" w:rsidRDefault="007F5740" w:rsidP="0027042D">
            <w:pPr>
              <w:jc w:val="center"/>
              <w:rPr>
                <w:sz w:val="20"/>
              </w:rPr>
            </w:pPr>
            <w:r w:rsidRPr="007F5740">
              <w:rPr>
                <w:sz w:val="20"/>
              </w:rPr>
              <w:t>Montenegro</w:t>
            </w:r>
          </w:p>
        </w:tc>
        <w:tc>
          <w:tcPr>
            <w:tcW w:w="3010" w:type="dxa"/>
          </w:tcPr>
          <w:p w14:paraId="7FB072CB" w14:textId="77777777" w:rsidR="007F5740" w:rsidRPr="007F5740" w:rsidRDefault="007F5740" w:rsidP="0027042D">
            <w:pPr>
              <w:jc w:val="center"/>
              <w:rPr>
                <w:sz w:val="20"/>
              </w:rPr>
            </w:pPr>
            <w:r w:rsidRPr="007F5740">
              <w:rPr>
                <w:sz w:val="20"/>
                <w:lang w:val="de"/>
              </w:rPr>
              <w:t>+11.4% (2019), +12.7% (2010), +1.6% (2005)</w:t>
            </w:r>
          </w:p>
        </w:tc>
      </w:tr>
      <w:tr w:rsidR="007F5740" w:rsidRPr="00C64C51" w14:paraId="2B3A7C97" w14:textId="77777777" w:rsidTr="0027042D">
        <w:tc>
          <w:tcPr>
            <w:tcW w:w="990" w:type="dxa"/>
          </w:tcPr>
          <w:p w14:paraId="00C02F44" w14:textId="77777777" w:rsidR="007F5740" w:rsidRPr="007F5740" w:rsidRDefault="007F5740" w:rsidP="0027042D">
            <w:pPr>
              <w:jc w:val="center"/>
              <w:rPr>
                <w:sz w:val="20"/>
              </w:rPr>
            </w:pPr>
            <w:r w:rsidRPr="007F5740">
              <w:rPr>
                <w:sz w:val="20"/>
                <w:lang w:val="de"/>
              </w:rPr>
              <w:t>2.D.3.b</w:t>
            </w:r>
          </w:p>
        </w:tc>
        <w:tc>
          <w:tcPr>
            <w:tcW w:w="1132" w:type="dxa"/>
          </w:tcPr>
          <w:p w14:paraId="67E1F1B5" w14:textId="77777777" w:rsidR="007F5740" w:rsidRPr="00632720" w:rsidRDefault="007F5740" w:rsidP="0027042D">
            <w:pPr>
              <w:jc w:val="center"/>
              <w:rPr>
                <w:sz w:val="20"/>
                <w:vertAlign w:val="subscript"/>
              </w:rPr>
            </w:pPr>
            <w:r w:rsidRPr="00632720">
              <w:rPr>
                <w:sz w:val="20"/>
              </w:rPr>
              <w:t>PM</w:t>
            </w:r>
            <w:r w:rsidRPr="00632720">
              <w:rPr>
                <w:sz w:val="20"/>
                <w:vertAlign w:val="subscript"/>
              </w:rPr>
              <w:t>2.5</w:t>
            </w:r>
          </w:p>
        </w:tc>
        <w:tc>
          <w:tcPr>
            <w:tcW w:w="1433" w:type="dxa"/>
          </w:tcPr>
          <w:p w14:paraId="62029AD3" w14:textId="77777777" w:rsidR="007F5740" w:rsidRPr="007F5740" w:rsidRDefault="007F5740" w:rsidP="0027042D">
            <w:pPr>
              <w:jc w:val="center"/>
              <w:rPr>
                <w:sz w:val="20"/>
              </w:rPr>
            </w:pPr>
            <w:r w:rsidRPr="007F5740">
              <w:rPr>
                <w:sz w:val="20"/>
                <w:lang w:val="de"/>
              </w:rPr>
              <w:t>2005, 2010, 2019</w:t>
            </w:r>
          </w:p>
        </w:tc>
        <w:tc>
          <w:tcPr>
            <w:tcW w:w="1685" w:type="dxa"/>
          </w:tcPr>
          <w:p w14:paraId="18FA6F70" w14:textId="77777777" w:rsidR="007F5740" w:rsidRPr="007F5740" w:rsidRDefault="007F5740" w:rsidP="0027042D">
            <w:pPr>
              <w:jc w:val="center"/>
              <w:rPr>
                <w:sz w:val="20"/>
              </w:rPr>
            </w:pPr>
            <w:r w:rsidRPr="007F5740">
              <w:rPr>
                <w:sz w:val="20"/>
              </w:rPr>
              <w:t>Montenegro</w:t>
            </w:r>
          </w:p>
        </w:tc>
        <w:tc>
          <w:tcPr>
            <w:tcW w:w="3010" w:type="dxa"/>
          </w:tcPr>
          <w:p w14:paraId="5A91ECE9" w14:textId="77777777" w:rsidR="007F5740" w:rsidRPr="007F5740" w:rsidRDefault="007F5740" w:rsidP="0027042D">
            <w:pPr>
              <w:jc w:val="center"/>
              <w:rPr>
                <w:sz w:val="20"/>
              </w:rPr>
            </w:pPr>
            <w:r w:rsidRPr="007F5740">
              <w:rPr>
                <w:sz w:val="20"/>
                <w:lang w:val="de"/>
              </w:rPr>
              <w:t>+1.7% (2019), +2% (2010), +0.2% (2005)</w:t>
            </w:r>
          </w:p>
        </w:tc>
      </w:tr>
      <w:tr w:rsidR="007F5740" w:rsidRPr="00C64C51" w14:paraId="006F9C88" w14:textId="77777777" w:rsidTr="0027042D">
        <w:tc>
          <w:tcPr>
            <w:tcW w:w="990" w:type="dxa"/>
          </w:tcPr>
          <w:p w14:paraId="7DCA6D71" w14:textId="77777777" w:rsidR="007F5740" w:rsidRPr="007F5740" w:rsidRDefault="007F5740" w:rsidP="0027042D">
            <w:pPr>
              <w:jc w:val="center"/>
              <w:rPr>
                <w:sz w:val="20"/>
              </w:rPr>
            </w:pPr>
            <w:r w:rsidRPr="007F5740">
              <w:rPr>
                <w:sz w:val="20"/>
                <w:lang w:val="de"/>
              </w:rPr>
              <w:t>2.D.3.b</w:t>
            </w:r>
          </w:p>
        </w:tc>
        <w:tc>
          <w:tcPr>
            <w:tcW w:w="1132" w:type="dxa"/>
          </w:tcPr>
          <w:p w14:paraId="59D577EB" w14:textId="77777777" w:rsidR="007F5740" w:rsidRPr="007F5740" w:rsidRDefault="007F5740" w:rsidP="0027042D">
            <w:pPr>
              <w:jc w:val="center"/>
              <w:rPr>
                <w:sz w:val="20"/>
              </w:rPr>
            </w:pPr>
            <w:r w:rsidRPr="007F5740">
              <w:rPr>
                <w:sz w:val="20"/>
              </w:rPr>
              <w:t>BC</w:t>
            </w:r>
          </w:p>
        </w:tc>
        <w:tc>
          <w:tcPr>
            <w:tcW w:w="1433" w:type="dxa"/>
          </w:tcPr>
          <w:p w14:paraId="6D66538D" w14:textId="77777777" w:rsidR="007F5740" w:rsidRPr="007F5740" w:rsidRDefault="007F5740" w:rsidP="0027042D">
            <w:pPr>
              <w:jc w:val="center"/>
              <w:rPr>
                <w:sz w:val="20"/>
              </w:rPr>
            </w:pPr>
            <w:r w:rsidRPr="007F5740">
              <w:rPr>
                <w:sz w:val="20"/>
                <w:lang w:val="de"/>
              </w:rPr>
              <w:t>2005, 2010, 2019</w:t>
            </w:r>
          </w:p>
        </w:tc>
        <w:tc>
          <w:tcPr>
            <w:tcW w:w="1685" w:type="dxa"/>
          </w:tcPr>
          <w:p w14:paraId="09A0389E" w14:textId="77777777" w:rsidR="007F5740" w:rsidRPr="007F5740" w:rsidRDefault="007F5740" w:rsidP="0027042D">
            <w:pPr>
              <w:jc w:val="center"/>
              <w:rPr>
                <w:sz w:val="20"/>
              </w:rPr>
            </w:pPr>
            <w:r w:rsidRPr="007F5740">
              <w:rPr>
                <w:sz w:val="20"/>
              </w:rPr>
              <w:t>Montenegro</w:t>
            </w:r>
          </w:p>
        </w:tc>
        <w:tc>
          <w:tcPr>
            <w:tcW w:w="3010" w:type="dxa"/>
          </w:tcPr>
          <w:p w14:paraId="62A8CA8E" w14:textId="77777777" w:rsidR="007F5740" w:rsidRPr="007F5740" w:rsidRDefault="007F5740" w:rsidP="0027042D">
            <w:pPr>
              <w:jc w:val="center"/>
              <w:rPr>
                <w:sz w:val="20"/>
              </w:rPr>
            </w:pPr>
            <w:r w:rsidRPr="007F5740">
              <w:rPr>
                <w:sz w:val="20"/>
                <w:lang w:val="de"/>
              </w:rPr>
              <w:t>+1.2% (2019), +8.6% (2010), +1.2% (2005)</w:t>
            </w:r>
          </w:p>
        </w:tc>
      </w:tr>
    </w:tbl>
    <w:p w14:paraId="64C4DE02" w14:textId="7EBF9DE2" w:rsidR="4CAD893A" w:rsidRPr="007F5740" w:rsidRDefault="007F5740" w:rsidP="007F5740">
      <w:pPr>
        <w:pStyle w:val="TableText"/>
        <w:spacing w:before="60" w:line="276" w:lineRule="auto"/>
        <w:rPr>
          <w:rFonts w:eastAsia="Arial"/>
          <w:i/>
        </w:rPr>
      </w:pPr>
      <w:r w:rsidRPr="007F5740">
        <w:rPr>
          <w:b/>
          <w:i/>
        </w:rPr>
        <w:t>Note:</w:t>
      </w:r>
      <w:r>
        <w:rPr>
          <w:i/>
        </w:rPr>
        <w:t xml:space="preserve"> </w:t>
      </w:r>
      <w:r w:rsidR="2A9278A2" w:rsidRPr="007F5740">
        <w:rPr>
          <w:i/>
          <w:sz w:val="18"/>
        </w:rPr>
        <w:t xml:space="preserve">Revised estimates provided by Montenegro and not accepted by the ERT during the review, NFR 2.K Consumption of POPs and heavy metals: possible underestimation of Hg and PCB emissions for 2019, 2010 and 2005, </w:t>
      </w:r>
      <w:r>
        <w:rPr>
          <w:i/>
          <w:sz w:val="18"/>
        </w:rPr>
        <w:br/>
      </w:r>
      <w:r w:rsidR="2A9278A2" w:rsidRPr="007F5740">
        <w:rPr>
          <w:i/>
          <w:sz w:val="18"/>
        </w:rPr>
        <w:t>Revised estimates provided by Montenegro and accepted by the ERT during the review, NFR 2.D.3.b Road paving with asphalt: possible underestimation of PM</w:t>
      </w:r>
      <w:r w:rsidR="2A9278A2" w:rsidRPr="007F5740">
        <w:rPr>
          <w:i/>
          <w:sz w:val="18"/>
          <w:vertAlign w:val="subscript"/>
        </w:rPr>
        <w:t>10</w:t>
      </w:r>
      <w:r w:rsidR="2A9278A2" w:rsidRPr="007F5740">
        <w:rPr>
          <w:i/>
          <w:sz w:val="18"/>
        </w:rPr>
        <w:t>, PM</w:t>
      </w:r>
      <w:r w:rsidR="2A9278A2" w:rsidRPr="007F5740">
        <w:rPr>
          <w:i/>
          <w:sz w:val="18"/>
          <w:vertAlign w:val="subscript"/>
        </w:rPr>
        <w:t>2.5</w:t>
      </w:r>
      <w:r w:rsidR="2A9278A2" w:rsidRPr="007F5740">
        <w:rPr>
          <w:i/>
          <w:sz w:val="18"/>
        </w:rPr>
        <w:t xml:space="preserve">, BC, TSP and NMVOC emissions for 2019, 2010 and 2005. </w:t>
      </w:r>
    </w:p>
    <w:p w14:paraId="54173276" w14:textId="77777777" w:rsidR="00E216B2" w:rsidRPr="00C64C51" w:rsidRDefault="00E216B2" w:rsidP="007F5740">
      <w:pPr>
        <w:pStyle w:val="RegPara"/>
        <w:numPr>
          <w:ilvl w:val="0"/>
          <w:numId w:val="0"/>
        </w:numPr>
        <w:rPr>
          <w:highlight w:val="magenta"/>
        </w:rPr>
      </w:pPr>
    </w:p>
    <w:p w14:paraId="03CA1A06" w14:textId="77777777" w:rsidR="000404AB" w:rsidRPr="00C64C51" w:rsidRDefault="2A9278A2" w:rsidP="00056DF4">
      <w:pPr>
        <w:pStyle w:val="berschrift4"/>
      </w:pPr>
      <w:r w:rsidRPr="00C64C51">
        <w:t>Sub-Sector Specific Recommendations</w:t>
      </w:r>
    </w:p>
    <w:p w14:paraId="143DADD5" w14:textId="6360AB67" w:rsidR="4CAD893A" w:rsidRPr="00C64C51" w:rsidRDefault="2A9278A2" w:rsidP="00632720">
      <w:pPr>
        <w:pStyle w:val="berschrift5"/>
      </w:pPr>
      <w:r w:rsidRPr="00C64C51">
        <w:t>Category issue 1: 2.A.2 Lime production – PM</w:t>
      </w:r>
      <w:r w:rsidRPr="00C64C51">
        <w:rPr>
          <w:vertAlign w:val="subscript"/>
        </w:rPr>
        <w:t>10</w:t>
      </w:r>
      <w:r w:rsidRPr="00C64C51">
        <w:t>, PM</w:t>
      </w:r>
      <w:r w:rsidRPr="00C64C51">
        <w:rPr>
          <w:vertAlign w:val="subscript"/>
        </w:rPr>
        <w:t>2.5</w:t>
      </w:r>
      <w:r w:rsidRPr="00C64C51">
        <w:t>, TSP, BC - Accuracy, transparency</w:t>
      </w:r>
    </w:p>
    <w:p w14:paraId="2005F86F" w14:textId="6D20D4C6" w:rsidR="4CAD893A" w:rsidRPr="00C64C51" w:rsidRDefault="2A9278A2" w:rsidP="007F5740">
      <w:pPr>
        <w:pStyle w:val="RegPara"/>
      </w:pPr>
      <w:r w:rsidRPr="00C64C51">
        <w:t>During the review, the ERT noted that the reported amount for the lime production in 2010 differ in the IIR (p.300ff, Table 4.2) where is 839 t (i.e. 0.839 kt), and in the NFR table, where is 33.0 kt, and that consequently, the resulted PM</w:t>
      </w:r>
      <w:r w:rsidRPr="00C64C51">
        <w:rPr>
          <w:vertAlign w:val="subscript"/>
        </w:rPr>
        <w:t>10</w:t>
      </w:r>
      <w:r w:rsidRPr="00C64C51">
        <w:t>, PM</w:t>
      </w:r>
      <w:r w:rsidRPr="00C64C51">
        <w:rPr>
          <w:vertAlign w:val="subscript"/>
        </w:rPr>
        <w:t>2.5</w:t>
      </w:r>
      <w:r w:rsidRPr="00C64C51">
        <w:t>, TSP and BC emissions are also differ. To a question on the issue Montenegro responded that they noticed a fixed link; thus for all years the activity data of 1990 were used in the NFR and sanded to the ERT the revised estimations (the attached file: 2.A.2.Lime) were the data used in the IIR are provided. The ERT recommends correction in the next IIR.</w:t>
      </w:r>
    </w:p>
    <w:p w14:paraId="40E5C1AE" w14:textId="28E99A74" w:rsidR="4CAD893A" w:rsidRPr="00C64C51" w:rsidRDefault="2A9278A2" w:rsidP="007F5740">
      <w:pPr>
        <w:pStyle w:val="RegPara"/>
      </w:pPr>
      <w:r w:rsidRPr="00C64C51">
        <w:t>During the review, the ERT noted that the IIR in the Chapter 4.2.1 the explanation of the trend for lime production in Montenegro is missing. Montenegro was asked to explain the trend inconsistency in lime production and consequently in PM</w:t>
      </w:r>
      <w:r w:rsidRPr="00C64C51">
        <w:rPr>
          <w:vertAlign w:val="subscript"/>
        </w:rPr>
        <w:t>10</w:t>
      </w:r>
      <w:r w:rsidRPr="00C64C51">
        <w:t>, PM</w:t>
      </w:r>
      <w:r w:rsidRPr="00C64C51">
        <w:rPr>
          <w:vertAlign w:val="subscript"/>
        </w:rPr>
        <w:t>2.5</w:t>
      </w:r>
      <w:r w:rsidRPr="00C64C51">
        <w:t>, TSP and BC emissions (a dip in 1994 for 69%, a dip/peak in 2010). To the question on the issue Montenegro responded with the following explanations: 1994 - Economic Collapse during Yugoslav Wars, 2009/2010 - Economic crisis (worldwide). The ERT recommends including this information in the next submission.</w:t>
      </w:r>
    </w:p>
    <w:p w14:paraId="4FCDA495" w14:textId="23378655" w:rsidR="00773F38" w:rsidRPr="00C64C51" w:rsidRDefault="2A9278A2" w:rsidP="00632720">
      <w:pPr>
        <w:pStyle w:val="berschrift5"/>
      </w:pPr>
      <w:r w:rsidRPr="00C64C51">
        <w:t>Category issue 2: 2.A.5.a Quarrying and mining of minerals other than coal – All pollutants – Accuracy, transparency</w:t>
      </w:r>
    </w:p>
    <w:p w14:paraId="0ED9F3F7" w14:textId="4F4C64FF" w:rsidR="4CAD893A" w:rsidRPr="00C64C51" w:rsidRDefault="2A9278A2" w:rsidP="007F5740">
      <w:pPr>
        <w:pStyle w:val="RegPara"/>
      </w:pPr>
      <w:r w:rsidRPr="00C64C51">
        <w:t>The ERT noted in the IIR that the first tables on p. 299 and p. 303 are the same, of which the table on p. 303 seems to be a copy/paste error and ask Montenegro to correct this error and present category 2A5a with new, correct table in the next submission of IIR. To the question on the issue Montenegro responded that this will be correct by adding a caption as in other chapters. The ERT recommends correction in the next IIR.</w:t>
      </w:r>
    </w:p>
    <w:p w14:paraId="6E39A142" w14:textId="72C2D9A4" w:rsidR="4CAD893A" w:rsidRPr="00C64C51" w:rsidRDefault="2A9278A2" w:rsidP="007F5740">
      <w:pPr>
        <w:pStyle w:val="RegPara"/>
      </w:pPr>
      <w:r w:rsidRPr="00C64C51">
        <w:t>According to the Montenegro's IIR (p. 303) the data on crushed stones, marvel, sands and etc for the period 1990 - 2009 is missing and will be included, when the examination of the years before 2010 is finished. This category is included in the improvement plan (p.389, Table 8.1) and is characterized as high priority, but with no clear time frame. The ERT commended Montenegro for including the improvement plan in the IIR and asked Montenegro to present the schedule for the implementation in the next IIR submission. To the question on the issue Montenegro responded that there is currently a twinning light project in Montenegro starting, which focusses on the improvement and completeness of inventory in order to fulfil the TACC criteria, that issues like the higher tier for key categories or the estimates for missing sources will be addressed within this project. And that the results will be implemented mainly in submission 2022 and at latest in submission 2023 (</w:t>
      </w:r>
      <w:hyperlink r:id="rId13">
        <w:r w:rsidRPr="00C64C51">
          <w:rPr>
            <w:rStyle w:val="Hyperlink"/>
            <w:color w:val="auto"/>
          </w:rPr>
          <w:t>http://www.twinplace.eu/MyTwinPlace/Members/InterestDetails.aspx?3926</w:t>
        </w:r>
      </w:hyperlink>
      <w:r w:rsidRPr="00C64C51">
        <w:t>). The ERT recommends Montenegro doing as they said and including all results and new information in the next IIR.</w:t>
      </w:r>
    </w:p>
    <w:p w14:paraId="74049FEB" w14:textId="01D371D2" w:rsidR="4CAD893A" w:rsidRPr="00C64C51" w:rsidRDefault="2A9278A2" w:rsidP="00632720">
      <w:pPr>
        <w:pStyle w:val="berschrift5"/>
      </w:pPr>
      <w:r w:rsidRPr="00C64C51">
        <w:lastRenderedPageBreak/>
        <w:t>Category issue 3: 2.C.1 Iron and steel production, trend – All pollutants - Transparency</w:t>
      </w:r>
    </w:p>
    <w:p w14:paraId="0653F853" w14:textId="0A142CF2" w:rsidR="4CAD893A" w:rsidRPr="00C64C51" w:rsidRDefault="2A9278A2" w:rsidP="007F5740">
      <w:pPr>
        <w:pStyle w:val="RegPara"/>
      </w:pPr>
      <w:r w:rsidRPr="00C64C51">
        <w:t>The ERT noted that in the IIR in the Chapter 4.3.1 the explanation of the trend for steel production in Montenegro is missing. The Montenegro was asked to explain the trend inconsistency in steel production. To the question on the issue Montenegro responded with the following explanations: 1994 - Economic Collapse during Yugoslav Wars, degradation of Montenegro's infrastructure (ways, communications, electric power stations, etc.), however, delayed deliveries of raw materials and electricity, which, in turn, delayed or prevented needed deliveries, 2009/2010 - Economic crisis (worldwide), 2009 - lack of raw materials as the reason for the shutdown, 2014 - termination of Electrodes Factory Piva, which was a manufacturer of electrodes and welding wires, increase after 2012 - improvements/ modernisation of Toscelik Alloyed Engineering Steel Niksic (Steel Mill Niksic) and the statement that these descriptions will be provided in the next IIR. The ERT commends Montenegro on providing detail trend description and recommends including this information in the next submission.</w:t>
      </w:r>
    </w:p>
    <w:p w14:paraId="3C139072" w14:textId="0D47F0DA" w:rsidR="4CAD893A" w:rsidRPr="00C64C51" w:rsidRDefault="2A9278A2" w:rsidP="00632720">
      <w:pPr>
        <w:pStyle w:val="berschrift5"/>
      </w:pPr>
      <w:r w:rsidRPr="00C64C51">
        <w:t>Category issue 4: 2.C.3 Aluminium production, trend – SO</w:t>
      </w:r>
      <w:r w:rsidRPr="00C64C51">
        <w:rPr>
          <w:vertAlign w:val="subscript"/>
        </w:rPr>
        <w:t>2</w:t>
      </w:r>
      <w:r w:rsidRPr="00C64C51">
        <w:t>, CO</w:t>
      </w:r>
    </w:p>
    <w:p w14:paraId="25085FBA" w14:textId="05E7F137" w:rsidR="4CAD893A" w:rsidRPr="00C64C51" w:rsidRDefault="2A9278A2" w:rsidP="007F5740">
      <w:pPr>
        <w:pStyle w:val="RegPara"/>
      </w:pPr>
      <w:r w:rsidRPr="00C64C51">
        <w:rPr>
          <w:rFonts w:eastAsia="Arial"/>
        </w:rPr>
        <w:t>The ERT noted that in the IIR in the Chapter 4.3.2 the explanation of the trend for aluminium production in Montenegro is missing and asked for an explanation of the trend inconsistency in aluminium production, specifically dips in SO</w:t>
      </w:r>
      <w:r w:rsidRPr="00C64C51">
        <w:rPr>
          <w:rFonts w:eastAsia="Arial"/>
          <w:vertAlign w:val="subscript"/>
        </w:rPr>
        <w:t>2</w:t>
      </w:r>
      <w:r w:rsidRPr="00C64C51">
        <w:rPr>
          <w:rFonts w:eastAsia="Arial"/>
        </w:rPr>
        <w:t xml:space="preserve"> and CO emissions in 1994. To the question on the issue Montenegro responded the following explanations: 1994 - Economic Collapse during Yugoslav Wars, degradation of Montenegro's infrastructure (ways, communications, electric power stations, etc.), however, delayed deliveries of raw materials and electricity, which, in turn, delayed or prevented needed deliveries, 2009 - closing alumina plant, 2014 - bankruptcy &amp; takeover, 2015 - Shut down of Elektroliza, and the statement that these descriptions will be provided in the next IIR. The ERT commends Montenegro on providing detail trend description and recommends including this information in the next submission.</w:t>
      </w:r>
      <w:r w:rsidRPr="00C64C51">
        <w:t xml:space="preserve"> </w:t>
      </w:r>
    </w:p>
    <w:p w14:paraId="7B526C3A" w14:textId="029CE3FA" w:rsidR="4CAD893A" w:rsidRPr="00C64C51" w:rsidRDefault="2A9278A2" w:rsidP="00632720">
      <w:pPr>
        <w:pStyle w:val="berschrift5"/>
      </w:pPr>
      <w:r w:rsidRPr="00C64C51">
        <w:t>Category issue 5: 2.D.3.b Road paving with asphalt, 2.D.3.c Asphalt roofing – All pollutants - Completeness, transparency</w:t>
      </w:r>
    </w:p>
    <w:p w14:paraId="558E1525" w14:textId="3D02896A" w:rsidR="4CAD893A" w:rsidRPr="00C64C51" w:rsidRDefault="2A9278A2" w:rsidP="007F5740">
      <w:pPr>
        <w:pStyle w:val="RegPara"/>
      </w:pPr>
      <w:r w:rsidRPr="00C64C51">
        <w:rPr>
          <w:rFonts w:eastAsia="Arial"/>
        </w:rPr>
        <w:t>The ERT noted that in the NFR tables 1990-2019 Montenegro uses a notation key "NE" for reporting the NMVOC, and for the emissions of other relevant pollutants, "NO". The ERT noted that according to Guidebook 2019, road paving with asphalt and asphalt roofing activities resulting with emission of many other pollutants, except NMVOC and asked the rationale for using the notation key "NO" for reporting the other relevant emitting pollutants. To the question on the issue Montenegro responded that this emissions NMVOC, TSP, PM10, PM2.5, and BC from Road paving with asphalt are now estimated and that further investigation on the use of asphalt will be done in the framework of Twinning Light Project. The ERT recommends including this information in the next submission.</w:t>
      </w:r>
      <w:r w:rsidRPr="00C64C51">
        <w:t xml:space="preserve"> </w:t>
      </w:r>
    </w:p>
    <w:p w14:paraId="4BBB0D40" w14:textId="25A6C782" w:rsidR="4CAD893A" w:rsidRPr="00C64C51" w:rsidRDefault="2A9278A2" w:rsidP="00632720">
      <w:pPr>
        <w:pStyle w:val="berschrift5"/>
      </w:pPr>
      <w:r w:rsidRPr="00C64C51">
        <w:t>Category issue 6: 2.D.3.b Road paving with asphalt - NMVOC, TSP, PM10, PM2.5, BC - Completeness</w:t>
      </w:r>
    </w:p>
    <w:p w14:paraId="369E135E" w14:textId="44D9BC45" w:rsidR="4CAD893A" w:rsidRPr="00C64C51" w:rsidRDefault="2A9278A2" w:rsidP="007F5740">
      <w:pPr>
        <w:pStyle w:val="RegPara"/>
      </w:pPr>
      <w:r w:rsidRPr="00C64C51">
        <w:t xml:space="preserve">The ERT noted that the category 2D3b is included in the improvement plain on (p.389, Table 8.1) and is characterized as high priority, but with no clear time frame and asked Montenegro to present the schedule for the implementation in the next IIR </w:t>
      </w:r>
      <w:r w:rsidRPr="00C64C51">
        <w:lastRenderedPageBreak/>
        <w:t>submission. Moreover, the ERT did a research and find in the Statistical Yearbook of Montenegro 2020 (Source: MONSTAT), Chapter 15: Construction, a data on annual amount of asphalt for the period 2015 – 2019 and asked Montenegro to calculate NMVOC, TSP, PM</w:t>
      </w:r>
      <w:r w:rsidRPr="00C64C51">
        <w:rPr>
          <w:vertAlign w:val="subscript"/>
        </w:rPr>
        <w:t>10</w:t>
      </w:r>
      <w:r w:rsidRPr="00C64C51">
        <w:t>, PM</w:t>
      </w:r>
      <w:r w:rsidRPr="00C64C51">
        <w:rPr>
          <w:vertAlign w:val="subscript"/>
        </w:rPr>
        <w:t>2.5</w:t>
      </w:r>
      <w:r w:rsidRPr="00C64C51">
        <w:t xml:space="preserve"> and BC emissions now by using Guidebook 2019 Tier 1 methodology for period 2015 –2019. To the question on the issue Montenegro sent the revised estimations for the period 2001 - 2019 (attached file 2.D.3.b_RoadPaving.xlsx), and that the time series 1990 - 2006 will be calculated for next submissions with the further investigation on the asphalt use, with providing the statement that they will include estimations and description in next IIR. The ERT commends Montenegro on revised estimations and recommends including them and all new information in the next submission.</w:t>
      </w:r>
    </w:p>
    <w:p w14:paraId="74F43D95" w14:textId="6560AE2A" w:rsidR="4CAD893A" w:rsidRPr="00C64C51" w:rsidRDefault="2A9278A2" w:rsidP="00632720">
      <w:pPr>
        <w:pStyle w:val="berschrift5"/>
      </w:pPr>
      <w:r w:rsidRPr="00C64C51">
        <w:t>Category issue 7: 2.H.2 Food and beverages industry – NMVOC - Completeness</w:t>
      </w:r>
    </w:p>
    <w:p w14:paraId="2084C996" w14:textId="7DEE3639" w:rsidR="4CAD893A" w:rsidRPr="00C64C51" w:rsidRDefault="2A9278A2" w:rsidP="007F5740">
      <w:pPr>
        <w:pStyle w:val="RegPara"/>
      </w:pPr>
      <w:r w:rsidRPr="00C64C51">
        <w:rPr>
          <w:rFonts w:eastAsia="Arial"/>
        </w:rPr>
        <w:t>The ERT noted that Montenegro estimates emissions of the food and beverages industry with the production data of bread, beer, wine, and spirits (p. 328, table 4.32). According to Guidebook 2019 the relevant activity statistics include also total production of home-killed meat, total fish and seafood landed, total production of poultry meat, total production of cakes, biscuits and breakfast cereals, total sugar production, total production of fats excluding butter, total weight of coffee beans roasted, and total production of animal feed. The ERT did a research and find in the Statistical Yearbook of Montenegro 2020 (Source: MONSTAT), Chapter 14: Industry, a data on annual amount of Roasted coffee, Cake and pastry products, Fresh or chilled carcases, half-carcases and cuts, of beef, veal, pig, lamb, sheep and chicken meat, and asked Montenegro to include this new data and complete the NMVOC emission inventory for the NFR 2H2 Food and beverages industry for the next submission in 2022. To the question on the issue Montenegro responded that they will estimate emissions from the activity 2.H.2 for next submission. The ERT recommends Montenegro doing as they said and including all new information in the next submission.</w:t>
      </w:r>
    </w:p>
    <w:p w14:paraId="445AF8F4" w14:textId="7DAF82E4" w:rsidR="4CAD893A" w:rsidRPr="00C64C51" w:rsidRDefault="2A9278A2" w:rsidP="00632720">
      <w:pPr>
        <w:pStyle w:val="berschrift5"/>
        <w:rPr>
          <w:szCs w:val="22"/>
        </w:rPr>
      </w:pPr>
      <w:r w:rsidRPr="00C64C51">
        <w:t xml:space="preserve">Category issue 8: 2.K Consumption of POPs and heavy metals - Hg, PCBs </w:t>
      </w:r>
      <w:r w:rsidRPr="00C64C51">
        <w:rPr>
          <w:szCs w:val="22"/>
        </w:rPr>
        <w:t>- Completeness, transparency</w:t>
      </w:r>
    </w:p>
    <w:p w14:paraId="71F18351" w14:textId="436AF26A" w:rsidR="4CAD893A" w:rsidRPr="00C64C51" w:rsidRDefault="2A9278A2" w:rsidP="007F5740">
      <w:pPr>
        <w:pStyle w:val="RegPara"/>
      </w:pPr>
      <w:r w:rsidRPr="00C64C51">
        <w:rPr>
          <w:rFonts w:eastAsia="Arial"/>
        </w:rPr>
        <w:t xml:space="preserve">The ERT noted that Montenegro uses the notation key "NA" instead of actual emission estimates for Hg and PCB for category 2K and thus there may be an [over/under]-estimate of emissions. This [over/under]-estimate may have an impact on total emissions that is above the threshold of significance (i.e. a change in the National Total of more than 2%). The ERT also noted that "NA" is not the correct notation key to use because the 2019 Guidebook provides a methodology for Hg and PCB emission calculation based on population. The ERT asked Montenegro for an explanation on why Hg and PCB emissions are not calculated, although the historic data on country’s total population is known, and to provide further justification for not reporting emissions or a revised estimate that resolves the potential [over/under]-estimate or evidence in case they consider that the impact of the [over/under]-estimate is below the threshold of significance. To the question on the issue Montenegro responded with the revised emission estimations for HCB and Hg for the period 1990 – 2019, based on Tier 1 methodology according to Guidebook 2019. Montenegro also noted that they need to review the reports prepared for submission under the Stockholm Convention (Fourth </w:t>
      </w:r>
      <w:r w:rsidRPr="00C64C51">
        <w:rPr>
          <w:rFonts w:eastAsia="Arial"/>
        </w:rPr>
        <w:lastRenderedPageBreak/>
        <w:t xml:space="preserve">reporting cycle), and that the final discussion incorporating the emissions in the national Air pollutant emission inventory will be decided together with the colleagues from the Ministry and together with the Twinning Light project team (with the attached link: </w:t>
      </w:r>
      <w:hyperlink r:id="rId14">
        <w:r w:rsidRPr="00C64C51">
          <w:rPr>
            <w:rStyle w:val="Hyperlink"/>
            <w:rFonts w:eastAsia="Arial"/>
            <w:color w:val="auto"/>
            <w:szCs w:val="22"/>
          </w:rPr>
          <w:t>http://ers.pops.int/ERS-Extended/FeedbackServer/fsadmin.aspx?fscontrol=respondentReport&amp;surveyid=73&amp;voterid=49299&amp;readonly=1&amp;nomenu=1</w:t>
        </w:r>
      </w:hyperlink>
      <w:r w:rsidRPr="00C64C51">
        <w:rPr>
          <w:rFonts w:eastAsia="Arial"/>
        </w:rPr>
        <w:t xml:space="preserve">). </w:t>
      </w:r>
      <w:r w:rsidR="00632720">
        <w:rPr>
          <w:rFonts w:eastAsia="Arial"/>
        </w:rPr>
        <w:t xml:space="preserve"> </w:t>
      </w:r>
      <w:r w:rsidRPr="00C64C51">
        <w:rPr>
          <w:rFonts w:eastAsia="Arial"/>
        </w:rPr>
        <w:t>The revised estimations for PCB and Hg emissions were not accepted by the ERT due to the errors in the estimations (population number, forgot the conversion factor). The ERT asked Montenegro revising their own estimations and resending corrected estimations. As the ERT did not get any repossesses back from Montenegro the technical corrections were prepared.</w:t>
      </w:r>
      <w:r w:rsidRPr="00C64C51">
        <w:t xml:space="preserve"> </w:t>
      </w:r>
    </w:p>
    <w:p w14:paraId="0798689B" w14:textId="77777777" w:rsidR="00945281" w:rsidRDefault="00945281" w:rsidP="2A9278A2">
      <w:pPr>
        <w:pStyle w:val="berschrift2"/>
        <w:rPr>
          <w:rFonts w:eastAsia="MS Mincho"/>
          <w:lang w:eastAsia="ja-JP"/>
        </w:rPr>
      </w:pPr>
      <w:r>
        <w:rPr>
          <w:highlight w:val="lightGray"/>
          <w:lang w:eastAsia="de-DE"/>
        </w:rPr>
        <w:br w:type="page"/>
      </w:r>
      <w:bookmarkStart w:id="44" w:name="_Toc79490435"/>
      <w:r>
        <w:rPr>
          <w:rFonts w:eastAsia="MS Mincho"/>
          <w:lang w:eastAsia="ja-JP"/>
        </w:rPr>
        <w:lastRenderedPageBreak/>
        <w:t>Solvents</w:t>
      </w:r>
      <w:bookmarkEnd w:id="44"/>
    </w:p>
    <w:p w14:paraId="7CF1A4EC" w14:textId="77777777" w:rsidR="00945281" w:rsidRPr="00817634" w:rsidRDefault="2A9278A2" w:rsidP="00056DF4">
      <w:pPr>
        <w:pStyle w:val="berschrift4"/>
      </w:pPr>
      <w:r w:rsidRPr="00817634">
        <w:t>Review Scope</w:t>
      </w:r>
    </w:p>
    <w:tbl>
      <w:tblPr>
        <w:tblW w:w="8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8"/>
        <w:gridCol w:w="2782"/>
        <w:gridCol w:w="1085"/>
        <w:gridCol w:w="1206"/>
        <w:gridCol w:w="1845"/>
        <w:gridCol w:w="255"/>
      </w:tblGrid>
      <w:tr w:rsidR="00945281" w:rsidRPr="00817634" w14:paraId="778632C5" w14:textId="77777777" w:rsidTr="2A9278A2">
        <w:trPr>
          <w:trHeight w:val="255"/>
        </w:trPr>
        <w:tc>
          <w:tcPr>
            <w:tcW w:w="3780" w:type="dxa"/>
            <w:gridSpan w:val="2"/>
            <w:shd w:val="clear" w:color="auto" w:fill="CCCCCC"/>
            <w:noWrap/>
            <w:vAlign w:val="center"/>
          </w:tcPr>
          <w:p w14:paraId="5D50EECA" w14:textId="77777777" w:rsidR="00945281" w:rsidRPr="00817634" w:rsidRDefault="2A9278A2" w:rsidP="2A9278A2">
            <w:pPr>
              <w:pStyle w:val="TableText"/>
              <w:rPr>
                <w:b/>
                <w:bCs/>
              </w:rPr>
            </w:pPr>
            <w:r w:rsidRPr="00817634">
              <w:rPr>
                <w:b/>
                <w:bCs/>
              </w:rPr>
              <w:t>Pollutants Reviewed</w:t>
            </w:r>
          </w:p>
        </w:tc>
        <w:tc>
          <w:tcPr>
            <w:tcW w:w="4391" w:type="dxa"/>
            <w:gridSpan w:val="4"/>
            <w:shd w:val="clear" w:color="auto" w:fill="FFFFFF" w:themeFill="background1"/>
            <w:vAlign w:val="center"/>
          </w:tcPr>
          <w:p w14:paraId="04E59B5F" w14:textId="1AEF1D0F" w:rsidR="00945281" w:rsidRPr="00817634" w:rsidRDefault="2A9278A2" w:rsidP="2A9278A2">
            <w:pPr>
              <w:pStyle w:val="TableText"/>
              <w:rPr>
                <w:highlight w:val="yellow"/>
                <w:vertAlign w:val="subscript"/>
                <w:lang w:val="de-DE"/>
              </w:rPr>
            </w:pPr>
            <w:r w:rsidRPr="00817634">
              <w:rPr>
                <w:lang w:val="de-DE"/>
              </w:rPr>
              <w:t>All pollutants</w:t>
            </w:r>
          </w:p>
        </w:tc>
      </w:tr>
      <w:tr w:rsidR="00945281" w:rsidRPr="00817634" w14:paraId="39F4ED70" w14:textId="77777777" w:rsidTr="2A9278A2">
        <w:trPr>
          <w:trHeight w:val="255"/>
        </w:trPr>
        <w:tc>
          <w:tcPr>
            <w:tcW w:w="3780" w:type="dxa"/>
            <w:gridSpan w:val="2"/>
            <w:shd w:val="clear" w:color="auto" w:fill="CCCCCC"/>
            <w:noWrap/>
            <w:vAlign w:val="center"/>
          </w:tcPr>
          <w:p w14:paraId="7256B6A9" w14:textId="77777777" w:rsidR="00945281" w:rsidRPr="00817634" w:rsidRDefault="2A9278A2" w:rsidP="2A9278A2">
            <w:pPr>
              <w:pStyle w:val="TableText"/>
              <w:rPr>
                <w:b/>
                <w:bCs/>
              </w:rPr>
            </w:pPr>
            <w:r w:rsidRPr="00817634">
              <w:rPr>
                <w:b/>
                <w:bCs/>
              </w:rPr>
              <w:t>Years</w:t>
            </w:r>
          </w:p>
        </w:tc>
        <w:tc>
          <w:tcPr>
            <w:tcW w:w="4391" w:type="dxa"/>
            <w:gridSpan w:val="4"/>
            <w:shd w:val="clear" w:color="auto" w:fill="FFFFFF" w:themeFill="background1"/>
            <w:vAlign w:val="center"/>
          </w:tcPr>
          <w:p w14:paraId="03AA5E6B" w14:textId="6568FF43" w:rsidR="00945281" w:rsidRPr="00817634" w:rsidRDefault="2A9278A2" w:rsidP="2A9278A2">
            <w:pPr>
              <w:pStyle w:val="TableText"/>
              <w:rPr>
                <w:highlight w:val="yellow"/>
              </w:rPr>
            </w:pPr>
            <w:r w:rsidRPr="00817634">
              <w:t>1990 – 2019</w:t>
            </w:r>
          </w:p>
        </w:tc>
      </w:tr>
      <w:tr w:rsidR="00B824CA" w:rsidRPr="00817634" w14:paraId="7B0C50D5" w14:textId="77777777" w:rsidTr="2A9278A2">
        <w:trPr>
          <w:gridAfter w:val="1"/>
          <w:wAfter w:w="255" w:type="dxa"/>
          <w:trHeight w:val="255"/>
        </w:trPr>
        <w:tc>
          <w:tcPr>
            <w:tcW w:w="998" w:type="dxa"/>
            <w:shd w:val="clear" w:color="auto" w:fill="CCCCCC"/>
            <w:noWrap/>
            <w:vAlign w:val="center"/>
          </w:tcPr>
          <w:p w14:paraId="0445AEDE" w14:textId="77777777" w:rsidR="00B824CA" w:rsidRPr="00817634" w:rsidRDefault="2A9278A2" w:rsidP="2A9278A2">
            <w:pPr>
              <w:pStyle w:val="TableText"/>
              <w:jc w:val="center"/>
              <w:rPr>
                <w:rFonts w:eastAsia="Arial Unicode MS"/>
                <w:b/>
                <w:bCs/>
              </w:rPr>
            </w:pPr>
            <w:r w:rsidRPr="00817634">
              <w:rPr>
                <w:b/>
                <w:bCs/>
              </w:rPr>
              <w:t>Code</w:t>
            </w:r>
          </w:p>
        </w:tc>
        <w:tc>
          <w:tcPr>
            <w:tcW w:w="2782" w:type="dxa"/>
            <w:shd w:val="clear" w:color="auto" w:fill="CCCCCC"/>
            <w:vAlign w:val="center"/>
          </w:tcPr>
          <w:p w14:paraId="00523193" w14:textId="77777777" w:rsidR="00B824CA" w:rsidRPr="00817634" w:rsidRDefault="2A9278A2" w:rsidP="2A9278A2">
            <w:pPr>
              <w:pStyle w:val="TableText"/>
              <w:jc w:val="center"/>
              <w:rPr>
                <w:b/>
                <w:bCs/>
              </w:rPr>
            </w:pPr>
            <w:r w:rsidRPr="00817634">
              <w:rPr>
                <w:b/>
                <w:bCs/>
              </w:rPr>
              <w:t>Name</w:t>
            </w:r>
          </w:p>
        </w:tc>
        <w:tc>
          <w:tcPr>
            <w:tcW w:w="1085" w:type="dxa"/>
            <w:shd w:val="clear" w:color="auto" w:fill="CCCCCC"/>
            <w:vAlign w:val="center"/>
          </w:tcPr>
          <w:p w14:paraId="6C448D58" w14:textId="77777777" w:rsidR="00B824CA" w:rsidRPr="00817634" w:rsidRDefault="2A9278A2" w:rsidP="2A9278A2">
            <w:pPr>
              <w:pStyle w:val="TableText"/>
              <w:jc w:val="center"/>
              <w:rPr>
                <w:rFonts w:eastAsia="Arial Unicode MS"/>
                <w:b/>
                <w:bCs/>
              </w:rPr>
            </w:pPr>
            <w:r w:rsidRPr="00817634">
              <w:rPr>
                <w:b/>
                <w:bCs/>
              </w:rPr>
              <w:t>Reviewed</w:t>
            </w:r>
          </w:p>
        </w:tc>
        <w:tc>
          <w:tcPr>
            <w:tcW w:w="1206" w:type="dxa"/>
            <w:shd w:val="clear" w:color="auto" w:fill="CCCCCC"/>
            <w:vAlign w:val="center"/>
          </w:tcPr>
          <w:p w14:paraId="1CEF6AF9" w14:textId="77777777" w:rsidR="00B824CA" w:rsidRPr="00817634" w:rsidRDefault="2A9278A2" w:rsidP="2A9278A2">
            <w:pPr>
              <w:pStyle w:val="TableText"/>
              <w:jc w:val="center"/>
              <w:rPr>
                <w:b/>
                <w:bCs/>
              </w:rPr>
            </w:pPr>
            <w:r w:rsidRPr="00817634">
              <w:rPr>
                <w:b/>
                <w:bCs/>
              </w:rPr>
              <w:t>Not Reviewed</w:t>
            </w:r>
          </w:p>
        </w:tc>
        <w:tc>
          <w:tcPr>
            <w:tcW w:w="1845" w:type="dxa"/>
            <w:shd w:val="clear" w:color="auto" w:fill="CCCCCC"/>
            <w:vAlign w:val="center"/>
          </w:tcPr>
          <w:p w14:paraId="27E79A04" w14:textId="77777777" w:rsidR="00B824CA" w:rsidRPr="00817634" w:rsidRDefault="2A9278A2" w:rsidP="2A9278A2">
            <w:pPr>
              <w:pStyle w:val="TableText"/>
              <w:jc w:val="center"/>
              <w:rPr>
                <w:b/>
                <w:bCs/>
              </w:rPr>
            </w:pPr>
            <w:r w:rsidRPr="00817634">
              <w:rPr>
                <w:b/>
                <w:bCs/>
              </w:rPr>
              <w:t>Recommendation Provided</w:t>
            </w:r>
          </w:p>
        </w:tc>
      </w:tr>
      <w:tr w:rsidR="00945281" w:rsidRPr="00817634" w14:paraId="6BCCC9C5" w14:textId="77777777" w:rsidTr="2A9278A2">
        <w:trPr>
          <w:gridAfter w:val="1"/>
          <w:wAfter w:w="255" w:type="dxa"/>
        </w:trPr>
        <w:tc>
          <w:tcPr>
            <w:tcW w:w="998" w:type="dxa"/>
            <w:shd w:val="clear" w:color="auto" w:fill="E0E0E0"/>
            <w:noWrap/>
            <w:vAlign w:val="center"/>
          </w:tcPr>
          <w:p w14:paraId="2286033A" w14:textId="77777777" w:rsidR="00945281" w:rsidRPr="00817634" w:rsidRDefault="2A9278A2" w:rsidP="2A9278A2">
            <w:pPr>
              <w:pStyle w:val="TableText"/>
              <w:rPr>
                <w:rFonts w:eastAsia="Arial Unicode MS"/>
              </w:rPr>
            </w:pPr>
            <w:r w:rsidRPr="00817634">
              <w:t>2D3a</w:t>
            </w:r>
          </w:p>
        </w:tc>
        <w:tc>
          <w:tcPr>
            <w:tcW w:w="2782" w:type="dxa"/>
            <w:shd w:val="clear" w:color="auto" w:fill="E0E0E0"/>
            <w:vAlign w:val="center"/>
          </w:tcPr>
          <w:p w14:paraId="0A3687B0" w14:textId="77777777" w:rsidR="00945281" w:rsidRPr="00817634" w:rsidRDefault="2A9278A2" w:rsidP="2A9278A2">
            <w:pPr>
              <w:pStyle w:val="TableText"/>
              <w:rPr>
                <w:rFonts w:eastAsia="Arial Unicode MS"/>
              </w:rPr>
            </w:pPr>
            <w:r w:rsidRPr="00817634">
              <w:t>Domestic solvent use including fungicides</w:t>
            </w:r>
          </w:p>
        </w:tc>
        <w:tc>
          <w:tcPr>
            <w:tcW w:w="1085" w:type="dxa"/>
            <w:vAlign w:val="center"/>
          </w:tcPr>
          <w:p w14:paraId="69002694" w14:textId="51F71FF4" w:rsidR="00945281" w:rsidRPr="00817634" w:rsidRDefault="2A9278A2" w:rsidP="2A9278A2">
            <w:pPr>
              <w:pStyle w:val="TableText"/>
              <w:jc w:val="center"/>
              <w:rPr>
                <w:rFonts w:eastAsia="Arial Unicode MS"/>
              </w:rPr>
            </w:pPr>
            <w:r w:rsidRPr="00817634">
              <w:rPr>
                <w:rFonts w:eastAsia="Arial Unicode MS"/>
              </w:rPr>
              <w:t>x</w:t>
            </w:r>
          </w:p>
        </w:tc>
        <w:tc>
          <w:tcPr>
            <w:tcW w:w="1206" w:type="dxa"/>
            <w:vAlign w:val="center"/>
          </w:tcPr>
          <w:p w14:paraId="45D4EC15" w14:textId="77777777" w:rsidR="00945281" w:rsidRPr="00817634" w:rsidRDefault="00945281" w:rsidP="008921E2">
            <w:pPr>
              <w:pStyle w:val="TableText"/>
              <w:jc w:val="center"/>
              <w:rPr>
                <w:rFonts w:eastAsia="Arial Unicode MS"/>
              </w:rPr>
            </w:pPr>
          </w:p>
        </w:tc>
        <w:tc>
          <w:tcPr>
            <w:tcW w:w="1845" w:type="dxa"/>
            <w:vAlign w:val="center"/>
          </w:tcPr>
          <w:p w14:paraId="1471C630" w14:textId="2C2186C5" w:rsidR="00945281" w:rsidRPr="00817634" w:rsidRDefault="2A9278A2" w:rsidP="2A9278A2">
            <w:pPr>
              <w:pStyle w:val="TableText"/>
              <w:jc w:val="center"/>
              <w:rPr>
                <w:rFonts w:eastAsia="Arial Unicode MS"/>
              </w:rPr>
            </w:pPr>
            <w:r w:rsidRPr="00817634">
              <w:rPr>
                <w:rFonts w:eastAsia="Arial Unicode MS"/>
              </w:rPr>
              <w:t>x</w:t>
            </w:r>
          </w:p>
        </w:tc>
      </w:tr>
      <w:tr w:rsidR="00945281" w:rsidRPr="00817634" w14:paraId="01E02E42" w14:textId="77777777" w:rsidTr="2A9278A2">
        <w:trPr>
          <w:gridAfter w:val="1"/>
          <w:wAfter w:w="255" w:type="dxa"/>
        </w:trPr>
        <w:tc>
          <w:tcPr>
            <w:tcW w:w="998" w:type="dxa"/>
            <w:shd w:val="clear" w:color="auto" w:fill="E0E0E0"/>
            <w:noWrap/>
            <w:vAlign w:val="center"/>
          </w:tcPr>
          <w:p w14:paraId="2A657C76" w14:textId="77777777" w:rsidR="00945281" w:rsidRPr="00817634" w:rsidRDefault="2A9278A2" w:rsidP="2A9278A2">
            <w:pPr>
              <w:pStyle w:val="TableText"/>
              <w:rPr>
                <w:rFonts w:eastAsia="Arial Unicode MS"/>
              </w:rPr>
            </w:pPr>
            <w:r w:rsidRPr="00817634">
              <w:t>2D3d</w:t>
            </w:r>
          </w:p>
        </w:tc>
        <w:tc>
          <w:tcPr>
            <w:tcW w:w="2782" w:type="dxa"/>
            <w:shd w:val="clear" w:color="auto" w:fill="E0E0E0"/>
            <w:vAlign w:val="center"/>
          </w:tcPr>
          <w:p w14:paraId="126471F1" w14:textId="77777777" w:rsidR="00945281" w:rsidRPr="00817634" w:rsidRDefault="2A9278A2" w:rsidP="2A9278A2">
            <w:pPr>
              <w:pStyle w:val="TableText"/>
              <w:rPr>
                <w:rFonts w:eastAsia="Arial Unicode MS"/>
              </w:rPr>
            </w:pPr>
            <w:r w:rsidRPr="00817634">
              <w:t>Coating applications</w:t>
            </w:r>
          </w:p>
        </w:tc>
        <w:tc>
          <w:tcPr>
            <w:tcW w:w="1085" w:type="dxa"/>
            <w:vAlign w:val="center"/>
          </w:tcPr>
          <w:p w14:paraId="3273F16F" w14:textId="10629102" w:rsidR="00945281" w:rsidRPr="00817634" w:rsidRDefault="2A9278A2" w:rsidP="2A9278A2">
            <w:pPr>
              <w:pStyle w:val="TableText"/>
              <w:jc w:val="center"/>
              <w:rPr>
                <w:rFonts w:eastAsia="Arial Unicode MS"/>
              </w:rPr>
            </w:pPr>
            <w:r w:rsidRPr="00817634">
              <w:rPr>
                <w:rFonts w:eastAsia="Arial Unicode MS"/>
              </w:rPr>
              <w:t>x</w:t>
            </w:r>
          </w:p>
        </w:tc>
        <w:tc>
          <w:tcPr>
            <w:tcW w:w="1206" w:type="dxa"/>
            <w:vAlign w:val="center"/>
          </w:tcPr>
          <w:p w14:paraId="250202B9" w14:textId="77777777" w:rsidR="00945281" w:rsidRPr="00817634" w:rsidRDefault="00945281" w:rsidP="008921E2">
            <w:pPr>
              <w:pStyle w:val="TableText"/>
              <w:jc w:val="center"/>
              <w:rPr>
                <w:rFonts w:eastAsia="Arial Unicode MS"/>
              </w:rPr>
            </w:pPr>
          </w:p>
        </w:tc>
        <w:tc>
          <w:tcPr>
            <w:tcW w:w="1845" w:type="dxa"/>
            <w:vAlign w:val="center"/>
          </w:tcPr>
          <w:p w14:paraId="592F2D0D" w14:textId="1CAE76C0" w:rsidR="00945281" w:rsidRPr="00817634" w:rsidRDefault="2A9278A2" w:rsidP="2A9278A2">
            <w:pPr>
              <w:pStyle w:val="TableText"/>
              <w:jc w:val="center"/>
              <w:rPr>
                <w:rFonts w:eastAsia="Arial Unicode MS"/>
              </w:rPr>
            </w:pPr>
            <w:r w:rsidRPr="00817634">
              <w:rPr>
                <w:rFonts w:eastAsia="Arial Unicode MS"/>
              </w:rPr>
              <w:t>x</w:t>
            </w:r>
          </w:p>
        </w:tc>
      </w:tr>
      <w:tr w:rsidR="00945281" w:rsidRPr="00817634" w14:paraId="76F6F379" w14:textId="77777777" w:rsidTr="2A9278A2">
        <w:trPr>
          <w:gridAfter w:val="1"/>
          <w:wAfter w:w="255" w:type="dxa"/>
          <w:trHeight w:val="255"/>
        </w:trPr>
        <w:tc>
          <w:tcPr>
            <w:tcW w:w="998" w:type="dxa"/>
            <w:shd w:val="clear" w:color="auto" w:fill="E0E0E0"/>
            <w:noWrap/>
            <w:vAlign w:val="center"/>
          </w:tcPr>
          <w:p w14:paraId="105B47FC" w14:textId="77777777" w:rsidR="00945281" w:rsidRPr="00817634" w:rsidRDefault="2A9278A2" w:rsidP="2A9278A2">
            <w:pPr>
              <w:pStyle w:val="TableText"/>
              <w:rPr>
                <w:rFonts w:eastAsia="Arial Unicode MS"/>
              </w:rPr>
            </w:pPr>
            <w:r w:rsidRPr="00817634">
              <w:t>2D3e</w:t>
            </w:r>
          </w:p>
        </w:tc>
        <w:tc>
          <w:tcPr>
            <w:tcW w:w="2782" w:type="dxa"/>
            <w:shd w:val="clear" w:color="auto" w:fill="E0E0E0"/>
            <w:vAlign w:val="center"/>
          </w:tcPr>
          <w:p w14:paraId="18E55642" w14:textId="77777777" w:rsidR="00945281" w:rsidRPr="00817634" w:rsidRDefault="2A9278A2" w:rsidP="2A9278A2">
            <w:pPr>
              <w:pStyle w:val="TableText"/>
              <w:rPr>
                <w:rFonts w:eastAsia="Arial Unicode MS"/>
              </w:rPr>
            </w:pPr>
            <w:r w:rsidRPr="00817634">
              <w:t>Degreasing</w:t>
            </w:r>
          </w:p>
        </w:tc>
        <w:tc>
          <w:tcPr>
            <w:tcW w:w="1085" w:type="dxa"/>
            <w:vAlign w:val="center"/>
          </w:tcPr>
          <w:p w14:paraId="312AE5F0" w14:textId="5F4840B5" w:rsidR="00945281" w:rsidRPr="00817634" w:rsidRDefault="2A9278A2" w:rsidP="2A9278A2">
            <w:pPr>
              <w:pStyle w:val="TableText"/>
              <w:jc w:val="center"/>
              <w:rPr>
                <w:rFonts w:eastAsia="Arial Unicode MS"/>
              </w:rPr>
            </w:pPr>
            <w:r w:rsidRPr="00817634">
              <w:rPr>
                <w:rFonts w:eastAsia="Arial Unicode MS"/>
              </w:rPr>
              <w:t>x</w:t>
            </w:r>
          </w:p>
        </w:tc>
        <w:tc>
          <w:tcPr>
            <w:tcW w:w="1206" w:type="dxa"/>
            <w:vAlign w:val="center"/>
          </w:tcPr>
          <w:p w14:paraId="55C3F85C" w14:textId="77777777" w:rsidR="00945281" w:rsidRPr="00817634" w:rsidRDefault="00945281" w:rsidP="008921E2">
            <w:pPr>
              <w:pStyle w:val="TableText"/>
              <w:jc w:val="center"/>
              <w:rPr>
                <w:rFonts w:eastAsia="Arial Unicode MS"/>
              </w:rPr>
            </w:pPr>
          </w:p>
        </w:tc>
        <w:tc>
          <w:tcPr>
            <w:tcW w:w="1845" w:type="dxa"/>
            <w:vAlign w:val="center"/>
          </w:tcPr>
          <w:p w14:paraId="5A1BC8E6" w14:textId="687DDF26" w:rsidR="00945281" w:rsidRPr="00817634" w:rsidRDefault="2A9278A2" w:rsidP="2A9278A2">
            <w:pPr>
              <w:pStyle w:val="TableText"/>
              <w:jc w:val="center"/>
              <w:rPr>
                <w:rFonts w:eastAsia="Arial Unicode MS"/>
              </w:rPr>
            </w:pPr>
            <w:r w:rsidRPr="00817634">
              <w:rPr>
                <w:rFonts w:eastAsia="Arial Unicode MS"/>
              </w:rPr>
              <w:t>x</w:t>
            </w:r>
          </w:p>
        </w:tc>
      </w:tr>
      <w:tr w:rsidR="00945281" w:rsidRPr="00817634" w14:paraId="10924E7B" w14:textId="77777777" w:rsidTr="2A9278A2">
        <w:trPr>
          <w:gridAfter w:val="1"/>
          <w:wAfter w:w="255" w:type="dxa"/>
        </w:trPr>
        <w:tc>
          <w:tcPr>
            <w:tcW w:w="998" w:type="dxa"/>
            <w:shd w:val="clear" w:color="auto" w:fill="E0E0E0"/>
            <w:noWrap/>
            <w:vAlign w:val="center"/>
          </w:tcPr>
          <w:p w14:paraId="7AE75394" w14:textId="77777777" w:rsidR="00945281" w:rsidRPr="00817634" w:rsidRDefault="2A9278A2" w:rsidP="008921E2">
            <w:pPr>
              <w:pStyle w:val="TableText"/>
            </w:pPr>
            <w:r w:rsidRPr="00817634">
              <w:t>2D3f</w:t>
            </w:r>
          </w:p>
        </w:tc>
        <w:tc>
          <w:tcPr>
            <w:tcW w:w="2782" w:type="dxa"/>
            <w:shd w:val="clear" w:color="auto" w:fill="E0E0E0"/>
            <w:vAlign w:val="center"/>
          </w:tcPr>
          <w:p w14:paraId="177E40E4" w14:textId="77777777" w:rsidR="00945281" w:rsidRPr="00817634" w:rsidRDefault="2A9278A2" w:rsidP="008921E2">
            <w:pPr>
              <w:pStyle w:val="TableText"/>
            </w:pPr>
            <w:r w:rsidRPr="00817634">
              <w:t>Dry cleaning</w:t>
            </w:r>
          </w:p>
        </w:tc>
        <w:tc>
          <w:tcPr>
            <w:tcW w:w="1085" w:type="dxa"/>
            <w:vAlign w:val="center"/>
          </w:tcPr>
          <w:p w14:paraId="618C2280" w14:textId="73B7DE68" w:rsidR="00945281" w:rsidRPr="00817634" w:rsidRDefault="2A9278A2" w:rsidP="008921E2">
            <w:pPr>
              <w:pStyle w:val="TableText"/>
              <w:jc w:val="center"/>
            </w:pPr>
            <w:r w:rsidRPr="00817634">
              <w:t>x</w:t>
            </w:r>
          </w:p>
        </w:tc>
        <w:tc>
          <w:tcPr>
            <w:tcW w:w="1206" w:type="dxa"/>
            <w:vAlign w:val="center"/>
          </w:tcPr>
          <w:p w14:paraId="581460C4" w14:textId="77777777" w:rsidR="00945281" w:rsidRPr="00817634" w:rsidRDefault="00945281" w:rsidP="008921E2">
            <w:pPr>
              <w:pStyle w:val="TableText"/>
              <w:jc w:val="center"/>
            </w:pPr>
          </w:p>
        </w:tc>
        <w:tc>
          <w:tcPr>
            <w:tcW w:w="1845" w:type="dxa"/>
            <w:vAlign w:val="center"/>
          </w:tcPr>
          <w:p w14:paraId="20D117FF" w14:textId="289F0E46" w:rsidR="00945281" w:rsidRPr="00817634" w:rsidRDefault="2A9278A2" w:rsidP="008921E2">
            <w:pPr>
              <w:pStyle w:val="TableText"/>
              <w:jc w:val="center"/>
            </w:pPr>
            <w:r w:rsidRPr="00817634">
              <w:t>x</w:t>
            </w:r>
          </w:p>
        </w:tc>
      </w:tr>
      <w:tr w:rsidR="00945281" w:rsidRPr="00817634" w14:paraId="3F762B63" w14:textId="77777777" w:rsidTr="2A9278A2">
        <w:trPr>
          <w:gridAfter w:val="1"/>
          <w:wAfter w:w="255" w:type="dxa"/>
        </w:trPr>
        <w:tc>
          <w:tcPr>
            <w:tcW w:w="998" w:type="dxa"/>
            <w:shd w:val="clear" w:color="auto" w:fill="E0E0E0"/>
            <w:noWrap/>
            <w:vAlign w:val="center"/>
          </w:tcPr>
          <w:p w14:paraId="57D98B0A" w14:textId="77777777" w:rsidR="00945281" w:rsidRPr="00817634" w:rsidRDefault="2A9278A2" w:rsidP="2A9278A2">
            <w:pPr>
              <w:pStyle w:val="TableText"/>
              <w:rPr>
                <w:rFonts w:eastAsia="Arial Unicode MS"/>
              </w:rPr>
            </w:pPr>
            <w:r w:rsidRPr="00817634">
              <w:t>2D3g</w:t>
            </w:r>
          </w:p>
        </w:tc>
        <w:tc>
          <w:tcPr>
            <w:tcW w:w="2782" w:type="dxa"/>
            <w:shd w:val="clear" w:color="auto" w:fill="E0E0E0"/>
            <w:vAlign w:val="center"/>
          </w:tcPr>
          <w:p w14:paraId="4FB7EDFA" w14:textId="77777777" w:rsidR="00945281" w:rsidRPr="00817634" w:rsidRDefault="2A9278A2" w:rsidP="2A9278A2">
            <w:pPr>
              <w:pStyle w:val="TableText"/>
              <w:rPr>
                <w:rFonts w:eastAsia="Arial Unicode MS"/>
              </w:rPr>
            </w:pPr>
            <w:r w:rsidRPr="00817634">
              <w:t>Chemical products</w:t>
            </w:r>
          </w:p>
        </w:tc>
        <w:tc>
          <w:tcPr>
            <w:tcW w:w="1085" w:type="dxa"/>
            <w:vAlign w:val="center"/>
          </w:tcPr>
          <w:p w14:paraId="5E316683" w14:textId="7AD0F595" w:rsidR="00945281" w:rsidRPr="00817634" w:rsidRDefault="2A9278A2" w:rsidP="2A9278A2">
            <w:pPr>
              <w:pStyle w:val="TableText"/>
              <w:jc w:val="center"/>
              <w:rPr>
                <w:rFonts w:eastAsia="Arial Unicode MS"/>
              </w:rPr>
            </w:pPr>
            <w:r w:rsidRPr="00817634">
              <w:rPr>
                <w:rFonts w:eastAsia="Arial Unicode MS"/>
              </w:rPr>
              <w:t>x</w:t>
            </w:r>
          </w:p>
        </w:tc>
        <w:tc>
          <w:tcPr>
            <w:tcW w:w="1206" w:type="dxa"/>
            <w:vAlign w:val="center"/>
          </w:tcPr>
          <w:p w14:paraId="28368F80" w14:textId="77777777" w:rsidR="00945281" w:rsidRPr="00817634" w:rsidRDefault="00945281" w:rsidP="008921E2">
            <w:pPr>
              <w:pStyle w:val="TableText"/>
              <w:jc w:val="center"/>
              <w:rPr>
                <w:rFonts w:eastAsia="Arial Unicode MS"/>
              </w:rPr>
            </w:pPr>
          </w:p>
        </w:tc>
        <w:tc>
          <w:tcPr>
            <w:tcW w:w="1845" w:type="dxa"/>
            <w:vAlign w:val="center"/>
          </w:tcPr>
          <w:p w14:paraId="502BE828" w14:textId="0B00FCEB" w:rsidR="00945281" w:rsidRPr="00817634" w:rsidRDefault="2A9278A2" w:rsidP="2A9278A2">
            <w:pPr>
              <w:pStyle w:val="TableText"/>
              <w:jc w:val="center"/>
              <w:rPr>
                <w:rFonts w:eastAsia="Arial Unicode MS"/>
              </w:rPr>
            </w:pPr>
            <w:r w:rsidRPr="00817634">
              <w:rPr>
                <w:rFonts w:eastAsia="Arial Unicode MS"/>
              </w:rPr>
              <w:t>x</w:t>
            </w:r>
          </w:p>
        </w:tc>
      </w:tr>
      <w:tr w:rsidR="00945281" w:rsidRPr="00817634" w14:paraId="0AEEB83B" w14:textId="77777777" w:rsidTr="2A9278A2">
        <w:trPr>
          <w:gridAfter w:val="1"/>
          <w:wAfter w:w="255" w:type="dxa"/>
          <w:trHeight w:val="255"/>
        </w:trPr>
        <w:tc>
          <w:tcPr>
            <w:tcW w:w="998" w:type="dxa"/>
            <w:shd w:val="clear" w:color="auto" w:fill="E0E0E0"/>
            <w:noWrap/>
            <w:vAlign w:val="center"/>
          </w:tcPr>
          <w:p w14:paraId="336B3B2C" w14:textId="77777777" w:rsidR="00945281" w:rsidRPr="00817634" w:rsidRDefault="2A9278A2" w:rsidP="2A9278A2">
            <w:pPr>
              <w:pStyle w:val="TableText"/>
              <w:rPr>
                <w:rFonts w:eastAsia="Arial Unicode MS"/>
              </w:rPr>
            </w:pPr>
            <w:r w:rsidRPr="00817634">
              <w:t>2D3h</w:t>
            </w:r>
          </w:p>
        </w:tc>
        <w:tc>
          <w:tcPr>
            <w:tcW w:w="2782" w:type="dxa"/>
            <w:shd w:val="clear" w:color="auto" w:fill="E0E0E0"/>
            <w:vAlign w:val="center"/>
          </w:tcPr>
          <w:p w14:paraId="33C9E864" w14:textId="77777777" w:rsidR="00945281" w:rsidRPr="00817634" w:rsidRDefault="2A9278A2" w:rsidP="2A9278A2">
            <w:pPr>
              <w:pStyle w:val="TableText"/>
              <w:rPr>
                <w:rFonts w:eastAsia="Arial Unicode MS"/>
              </w:rPr>
            </w:pPr>
            <w:r w:rsidRPr="00817634">
              <w:t>Printing</w:t>
            </w:r>
          </w:p>
        </w:tc>
        <w:tc>
          <w:tcPr>
            <w:tcW w:w="1085" w:type="dxa"/>
            <w:vAlign w:val="center"/>
          </w:tcPr>
          <w:p w14:paraId="63E52343" w14:textId="24070252" w:rsidR="00945281" w:rsidRPr="00817634" w:rsidRDefault="2A9278A2" w:rsidP="2A9278A2">
            <w:pPr>
              <w:pStyle w:val="TableText"/>
              <w:jc w:val="center"/>
              <w:rPr>
                <w:rFonts w:eastAsia="Arial Unicode MS"/>
              </w:rPr>
            </w:pPr>
            <w:r w:rsidRPr="00817634">
              <w:rPr>
                <w:rFonts w:eastAsia="Arial Unicode MS"/>
              </w:rPr>
              <w:t>x</w:t>
            </w:r>
          </w:p>
        </w:tc>
        <w:tc>
          <w:tcPr>
            <w:tcW w:w="1206" w:type="dxa"/>
            <w:vAlign w:val="center"/>
          </w:tcPr>
          <w:p w14:paraId="6886A07F" w14:textId="77777777" w:rsidR="00945281" w:rsidRPr="00817634" w:rsidRDefault="00945281" w:rsidP="008921E2">
            <w:pPr>
              <w:pStyle w:val="TableText"/>
              <w:jc w:val="center"/>
              <w:rPr>
                <w:rFonts w:eastAsia="Arial Unicode MS"/>
              </w:rPr>
            </w:pPr>
          </w:p>
        </w:tc>
        <w:tc>
          <w:tcPr>
            <w:tcW w:w="1845" w:type="dxa"/>
            <w:vAlign w:val="center"/>
          </w:tcPr>
          <w:p w14:paraId="0FC81C34" w14:textId="0A1CB445" w:rsidR="00945281" w:rsidRPr="00817634" w:rsidRDefault="2A9278A2" w:rsidP="2A9278A2">
            <w:pPr>
              <w:pStyle w:val="TableText"/>
              <w:jc w:val="center"/>
              <w:rPr>
                <w:rFonts w:eastAsia="Arial Unicode MS"/>
              </w:rPr>
            </w:pPr>
            <w:r w:rsidRPr="00817634">
              <w:rPr>
                <w:rFonts w:eastAsia="Arial Unicode MS"/>
              </w:rPr>
              <w:t>x</w:t>
            </w:r>
          </w:p>
        </w:tc>
      </w:tr>
      <w:tr w:rsidR="00945281" w:rsidRPr="00817634" w14:paraId="42D3E46F" w14:textId="77777777" w:rsidTr="2A9278A2">
        <w:trPr>
          <w:gridAfter w:val="1"/>
          <w:wAfter w:w="255" w:type="dxa"/>
        </w:trPr>
        <w:tc>
          <w:tcPr>
            <w:tcW w:w="998" w:type="dxa"/>
            <w:shd w:val="clear" w:color="auto" w:fill="E0E0E0"/>
            <w:noWrap/>
            <w:vAlign w:val="center"/>
          </w:tcPr>
          <w:p w14:paraId="031E71E6" w14:textId="77777777" w:rsidR="00945281" w:rsidRPr="00817634" w:rsidRDefault="2A9278A2" w:rsidP="2A9278A2">
            <w:pPr>
              <w:pStyle w:val="TableText"/>
              <w:rPr>
                <w:rFonts w:eastAsia="Arial Unicode MS"/>
              </w:rPr>
            </w:pPr>
            <w:r w:rsidRPr="00817634">
              <w:t>2D3i</w:t>
            </w:r>
          </w:p>
        </w:tc>
        <w:tc>
          <w:tcPr>
            <w:tcW w:w="2782" w:type="dxa"/>
            <w:shd w:val="clear" w:color="auto" w:fill="E0E0E0"/>
            <w:vAlign w:val="center"/>
          </w:tcPr>
          <w:p w14:paraId="42043C74" w14:textId="77777777" w:rsidR="00945281" w:rsidRPr="00817634" w:rsidRDefault="2A9278A2" w:rsidP="2A9278A2">
            <w:pPr>
              <w:pStyle w:val="TableText"/>
              <w:rPr>
                <w:rFonts w:eastAsia="Arial Unicode MS"/>
              </w:rPr>
            </w:pPr>
            <w:r w:rsidRPr="00817634">
              <w:t>Other solvent use</w:t>
            </w:r>
          </w:p>
        </w:tc>
        <w:tc>
          <w:tcPr>
            <w:tcW w:w="1085" w:type="dxa"/>
            <w:vAlign w:val="center"/>
          </w:tcPr>
          <w:p w14:paraId="378FF4F3" w14:textId="37E68276" w:rsidR="00945281" w:rsidRPr="00817634" w:rsidRDefault="2A9278A2" w:rsidP="2A9278A2">
            <w:pPr>
              <w:pStyle w:val="TableText"/>
              <w:jc w:val="center"/>
              <w:rPr>
                <w:rFonts w:eastAsia="Arial Unicode MS"/>
              </w:rPr>
            </w:pPr>
            <w:r w:rsidRPr="00817634">
              <w:rPr>
                <w:rFonts w:eastAsia="Arial Unicode MS"/>
              </w:rPr>
              <w:t>x</w:t>
            </w:r>
          </w:p>
        </w:tc>
        <w:tc>
          <w:tcPr>
            <w:tcW w:w="1206" w:type="dxa"/>
            <w:vAlign w:val="center"/>
          </w:tcPr>
          <w:p w14:paraId="28B4F1B5" w14:textId="77777777" w:rsidR="00945281" w:rsidRPr="00817634" w:rsidRDefault="00945281" w:rsidP="008921E2">
            <w:pPr>
              <w:pStyle w:val="TableText"/>
              <w:jc w:val="center"/>
              <w:rPr>
                <w:rFonts w:eastAsia="Arial Unicode MS"/>
              </w:rPr>
            </w:pPr>
          </w:p>
        </w:tc>
        <w:tc>
          <w:tcPr>
            <w:tcW w:w="1845" w:type="dxa"/>
            <w:vAlign w:val="center"/>
          </w:tcPr>
          <w:p w14:paraId="40A98804" w14:textId="5951D697" w:rsidR="00945281" w:rsidRPr="00817634" w:rsidRDefault="2A9278A2" w:rsidP="2A9278A2">
            <w:pPr>
              <w:pStyle w:val="TableText"/>
              <w:jc w:val="center"/>
              <w:rPr>
                <w:rFonts w:eastAsia="Arial Unicode MS"/>
              </w:rPr>
            </w:pPr>
            <w:r w:rsidRPr="00817634">
              <w:rPr>
                <w:rFonts w:eastAsia="Arial Unicode MS"/>
              </w:rPr>
              <w:t>x</w:t>
            </w:r>
          </w:p>
        </w:tc>
      </w:tr>
      <w:tr w:rsidR="00456173" w:rsidRPr="00817634" w14:paraId="2E8DD549" w14:textId="77777777" w:rsidTr="2A9278A2">
        <w:trPr>
          <w:gridAfter w:val="1"/>
          <w:wAfter w:w="255" w:type="dxa"/>
        </w:trPr>
        <w:tc>
          <w:tcPr>
            <w:tcW w:w="998" w:type="dxa"/>
            <w:shd w:val="clear" w:color="auto" w:fill="E0E0E0"/>
            <w:noWrap/>
            <w:vAlign w:val="center"/>
          </w:tcPr>
          <w:p w14:paraId="55EF4E24" w14:textId="77777777" w:rsidR="00456173" w:rsidRPr="00817634" w:rsidRDefault="2A9278A2" w:rsidP="008921E2">
            <w:pPr>
              <w:pStyle w:val="TableText"/>
            </w:pPr>
            <w:r w:rsidRPr="00817634">
              <w:t>2G</w:t>
            </w:r>
          </w:p>
        </w:tc>
        <w:tc>
          <w:tcPr>
            <w:tcW w:w="2782" w:type="dxa"/>
            <w:shd w:val="clear" w:color="auto" w:fill="E0E0E0"/>
            <w:vAlign w:val="center"/>
          </w:tcPr>
          <w:p w14:paraId="5895906C" w14:textId="77777777" w:rsidR="00456173" w:rsidRPr="00817634" w:rsidRDefault="2A9278A2" w:rsidP="00EF0DEB">
            <w:pPr>
              <w:pStyle w:val="TableText"/>
            </w:pPr>
            <w:r w:rsidRPr="00817634">
              <w:t>Other product use</w:t>
            </w:r>
          </w:p>
        </w:tc>
        <w:tc>
          <w:tcPr>
            <w:tcW w:w="1085" w:type="dxa"/>
            <w:vAlign w:val="center"/>
          </w:tcPr>
          <w:p w14:paraId="7CD254CD" w14:textId="243D82A4" w:rsidR="00456173" w:rsidRPr="00817634" w:rsidRDefault="2A9278A2" w:rsidP="2A9278A2">
            <w:pPr>
              <w:pStyle w:val="TableText"/>
              <w:jc w:val="center"/>
              <w:rPr>
                <w:rFonts w:eastAsia="Arial Unicode MS"/>
              </w:rPr>
            </w:pPr>
            <w:r w:rsidRPr="00817634">
              <w:rPr>
                <w:rFonts w:eastAsia="Arial Unicode MS"/>
              </w:rPr>
              <w:t>x</w:t>
            </w:r>
          </w:p>
        </w:tc>
        <w:tc>
          <w:tcPr>
            <w:tcW w:w="1206" w:type="dxa"/>
            <w:vAlign w:val="center"/>
          </w:tcPr>
          <w:p w14:paraId="2C0C26F3" w14:textId="77777777" w:rsidR="00456173" w:rsidRPr="00817634" w:rsidRDefault="00456173" w:rsidP="008921E2">
            <w:pPr>
              <w:pStyle w:val="TableText"/>
              <w:jc w:val="center"/>
              <w:rPr>
                <w:rFonts w:eastAsia="Arial Unicode MS"/>
              </w:rPr>
            </w:pPr>
          </w:p>
        </w:tc>
        <w:tc>
          <w:tcPr>
            <w:tcW w:w="1845" w:type="dxa"/>
            <w:vAlign w:val="center"/>
          </w:tcPr>
          <w:p w14:paraId="693EF019" w14:textId="5D084BD8" w:rsidR="00456173" w:rsidRPr="00817634" w:rsidRDefault="2A9278A2" w:rsidP="2A9278A2">
            <w:pPr>
              <w:pStyle w:val="TableText"/>
              <w:jc w:val="center"/>
              <w:rPr>
                <w:rFonts w:eastAsia="Arial Unicode MS"/>
              </w:rPr>
            </w:pPr>
            <w:r w:rsidRPr="00817634">
              <w:rPr>
                <w:rFonts w:eastAsia="Arial Unicode MS"/>
              </w:rPr>
              <w:t>x</w:t>
            </w:r>
          </w:p>
        </w:tc>
      </w:tr>
      <w:tr w:rsidR="00945281" w:rsidRPr="00817634" w14:paraId="27F3CA22" w14:textId="77777777" w:rsidTr="2A9278A2">
        <w:trPr>
          <w:gridAfter w:val="1"/>
          <w:wAfter w:w="255" w:type="dxa"/>
          <w:cantSplit/>
        </w:trPr>
        <w:tc>
          <w:tcPr>
            <w:tcW w:w="7916" w:type="dxa"/>
            <w:gridSpan w:val="5"/>
            <w:shd w:val="clear" w:color="auto" w:fill="E0E0E0"/>
            <w:noWrap/>
            <w:vAlign w:val="center"/>
          </w:tcPr>
          <w:p w14:paraId="123C2212" w14:textId="77777777" w:rsidR="00945281" w:rsidRPr="00817634" w:rsidRDefault="2A9278A2" w:rsidP="2A9278A2">
            <w:pPr>
              <w:pStyle w:val="TableText"/>
              <w:rPr>
                <w:rFonts w:eastAsia="Arial Unicode MS"/>
              </w:rPr>
            </w:pPr>
            <w:r w:rsidRPr="00817634">
              <w:t>Note: Where a sector has been partially reviewed (e.g. some of the NFR codes please indicate which have and which have not in the respective columns.</w:t>
            </w:r>
          </w:p>
        </w:tc>
      </w:tr>
    </w:tbl>
    <w:p w14:paraId="4E9E39AA" w14:textId="77777777" w:rsidR="00270C42" w:rsidRPr="00817634" w:rsidRDefault="2A9278A2" w:rsidP="00056DF4">
      <w:pPr>
        <w:pStyle w:val="berschrift4"/>
      </w:pPr>
      <w:r w:rsidRPr="00817634">
        <w:t>General recommendations on cross cutting issues</w:t>
      </w:r>
    </w:p>
    <w:p w14:paraId="3C7D670D" w14:textId="77777777" w:rsidR="000404AB" w:rsidRPr="00817634" w:rsidRDefault="2A9278A2" w:rsidP="00632720">
      <w:pPr>
        <w:pStyle w:val="berschrift5"/>
      </w:pPr>
      <w:r w:rsidRPr="00817634">
        <w:t>Transparency</w:t>
      </w:r>
    </w:p>
    <w:p w14:paraId="0E750BEB" w14:textId="659C7643" w:rsidR="4CAD893A" w:rsidRPr="00817634" w:rsidRDefault="2A9278A2" w:rsidP="007F5740">
      <w:pPr>
        <w:pStyle w:val="RegPara"/>
      </w:pPr>
      <w:r w:rsidRPr="00817634">
        <w:t xml:space="preserve">The ERT considers Montenegro’s emissions inventory for the Solvents sector to be generally transparent and notes that it comprises of the NFR19 tables for the period 1990 – 2019 and the Informative Inventory Report (IIR) that follows recommended structure of Annex II to Reporting Guidelines. </w:t>
      </w:r>
    </w:p>
    <w:p w14:paraId="7FACF3F4" w14:textId="695BDEA1" w:rsidR="4CAD893A" w:rsidRPr="00817634" w:rsidRDefault="2A9278A2" w:rsidP="007F5740">
      <w:pPr>
        <w:pStyle w:val="RegPara"/>
      </w:pPr>
      <w:r w:rsidRPr="00817634">
        <w:rPr>
          <w:rFonts w:eastAsia="Arial"/>
        </w:rPr>
        <w:t>Montenegro reports activity data for the Solvents sector (one category) in the IIR. The ERT commends Montenegro on this and recommends Montenegro to further improve reporting of activity data with the implementation of the improvement plan.</w:t>
      </w:r>
    </w:p>
    <w:p w14:paraId="32CE6741" w14:textId="0979E7DC" w:rsidR="4CAD893A" w:rsidRPr="00817634" w:rsidRDefault="2A9278A2" w:rsidP="007F5740">
      <w:pPr>
        <w:pStyle w:val="RegPara"/>
      </w:pPr>
      <w:r w:rsidRPr="00817634">
        <w:rPr>
          <w:rFonts w:eastAsia="Arial"/>
        </w:rPr>
        <w:t>The ERT notes that the methodology, emissions factors, and activity data are well documented in the IIR, and that Guidebook version 2019 is used for estimating emissions and that no country-specific methods are used. However, reasons for dips and jumps in the time series are not always included in the IIR. The ERT recommends Montenegro to include missing trends descriptions in the IIR to the next submission as indicated in the Sub-Sector Specific Recommendations.</w:t>
      </w:r>
    </w:p>
    <w:p w14:paraId="094556EF" w14:textId="6018533F" w:rsidR="4CAD893A" w:rsidRPr="00817634" w:rsidRDefault="2A9278A2" w:rsidP="007F5740">
      <w:pPr>
        <w:pStyle w:val="RegPara"/>
      </w:pPr>
      <w:r w:rsidRPr="00817634">
        <w:rPr>
          <w:rFonts w:eastAsia="Arial"/>
        </w:rPr>
        <w:t xml:space="preserve">The ERT notes that notation keys are frequently used across the IIR and reporting tables when reporting the emissions and activity data within the Solvent sector and that the notation keys used are not always the appropriate ones. The ERT recommends Montenegro to use the notation keys in line with the Reporting Guidelines paragraph 12 for the reporting of emissions and activity data. The ERT also recommends Montenegro to clearly explain the usage of notation keys in the IIR for each of the source category for which Montenegro uses “NE”, “NA” and “NO”. </w:t>
      </w:r>
    </w:p>
    <w:p w14:paraId="14745A5B" w14:textId="77777777" w:rsidR="000404AB" w:rsidRPr="00817634" w:rsidRDefault="2A9278A2" w:rsidP="00632720">
      <w:pPr>
        <w:pStyle w:val="berschrift5"/>
      </w:pPr>
      <w:r w:rsidRPr="00817634">
        <w:t>Completeness</w:t>
      </w:r>
    </w:p>
    <w:p w14:paraId="5C43120A" w14:textId="621DB25F" w:rsidR="4CAD893A" w:rsidRPr="00817634" w:rsidRDefault="2A9278A2" w:rsidP="007F5740">
      <w:pPr>
        <w:pStyle w:val="RegPara"/>
      </w:pPr>
      <w:r w:rsidRPr="00817634">
        <w:t>In the 2021 submission, Montenegro has reported emissions for the whole historic trend (1990-2019) for the Solvents sector for one category (NFR 2.D.3.a) in the scope of the Solvents sector.</w:t>
      </w:r>
    </w:p>
    <w:p w14:paraId="2533ED68" w14:textId="4E0B6769" w:rsidR="4CAD893A" w:rsidRPr="00817634" w:rsidRDefault="2A9278A2" w:rsidP="007F5740">
      <w:pPr>
        <w:pStyle w:val="RegPara"/>
      </w:pPr>
      <w:r w:rsidRPr="00817634">
        <w:rPr>
          <w:rFonts w:eastAsia="Arial"/>
        </w:rPr>
        <w:lastRenderedPageBreak/>
        <w:t>Regarding pollutants, the ERT considers the Solvents sector to be uncomplete, but with many planned improvements reported in the IIR (e.g., NFRs 2.D.3.a, 2.D.3.d, 2.D.3.e, 2.D.3.f, 2.D.3.h, 2.G), however with places for some additional improvements (e.g., NFRs 2.D.3.a, 2.D.3.f, 2.D.3.i) as explained under the Sub-Sector Specific Recommendations.</w:t>
      </w:r>
    </w:p>
    <w:p w14:paraId="3BC8F850" w14:textId="3BDAAA5F" w:rsidR="4CAD893A" w:rsidRPr="00817634" w:rsidRDefault="2A9278A2" w:rsidP="007F5740">
      <w:pPr>
        <w:pStyle w:val="RegPara"/>
      </w:pPr>
      <w:r w:rsidRPr="00817634">
        <w:t>The ERT recommends Montenegro for including black carbon emissions for the whole time series in the relevant source category of the Solvents sector, with the implementation of the improvement plan.</w:t>
      </w:r>
    </w:p>
    <w:p w14:paraId="179B3233" w14:textId="77777777" w:rsidR="000404AB" w:rsidRPr="00D85304" w:rsidRDefault="2A9278A2" w:rsidP="00632720">
      <w:pPr>
        <w:pStyle w:val="berschrift5"/>
      </w:pPr>
      <w:r>
        <w:t>Consistency including recalculation and time series</w:t>
      </w:r>
    </w:p>
    <w:p w14:paraId="224D2028" w14:textId="0D849F7E" w:rsidR="4CAD893A" w:rsidRPr="00A940A7" w:rsidRDefault="2A9278A2" w:rsidP="007F5740">
      <w:pPr>
        <w:pStyle w:val="RegPara"/>
      </w:pPr>
      <w:r w:rsidRPr="00A940A7">
        <w:t>The emission trend and activity data trend are in general consistent for reported category (NFR 2.D.3.a). However, during the review, the ERT identified one outlier, which Montenegro explained, as explained under Sub-Sector sector-specific recommendations. The ERT recommends Montenegro to include detailed explanations for all outliers in the time series for activity data and emissions in the next IIR.</w:t>
      </w:r>
    </w:p>
    <w:p w14:paraId="0E395D6B" w14:textId="08DA3240" w:rsidR="4CAD893A" w:rsidRPr="00A940A7" w:rsidRDefault="2A9278A2" w:rsidP="007F5740">
      <w:pPr>
        <w:pStyle w:val="RegPara"/>
      </w:pPr>
      <w:r w:rsidRPr="00A940A7">
        <w:rPr>
          <w:rFonts w:eastAsia="Arial"/>
        </w:rPr>
        <w:t xml:space="preserve">The ERT notes that Montenegro has performed recalculations and other changes for some pollutant emissions, source categories or years in the latest submission for the Solvent sector and documented the rationale and the impacts on the sector and emission trends in the IIR. The ERT commends Montenegro on this and recommends to further improve reporting of information on future recalculations and other changes made to the Solvent sector such as the rationale, the impact on the sector and the implications for emission trends in the next IIR. </w:t>
      </w:r>
    </w:p>
    <w:p w14:paraId="0FC39904" w14:textId="77777777" w:rsidR="000404AB" w:rsidRDefault="2A9278A2" w:rsidP="00632720">
      <w:pPr>
        <w:pStyle w:val="berschrift5"/>
        <w:rPr>
          <w:color w:val="365F91"/>
        </w:rPr>
      </w:pPr>
      <w:r>
        <w:t>Comparability</w:t>
      </w:r>
    </w:p>
    <w:p w14:paraId="66DDD3FB" w14:textId="7FDFD46F" w:rsidR="4CAD893A" w:rsidRPr="00A940A7" w:rsidRDefault="2A9278A2" w:rsidP="007F5740">
      <w:pPr>
        <w:pStyle w:val="RegPara"/>
      </w:pPr>
      <w:r w:rsidRPr="00A940A7">
        <w:rPr>
          <w:rFonts w:eastAsia="Arial"/>
        </w:rPr>
        <w:t>The ERT considers the inventory to be comparable with those of other reporting Parties. The methods used by Montenegro to create the inventory for the Solvent sector are consistent with the Guidebook version 2019 and emissions are reported in the latest NFR19 format.</w:t>
      </w:r>
    </w:p>
    <w:p w14:paraId="14572B66" w14:textId="77777777" w:rsidR="000404AB" w:rsidRPr="002D4DBA" w:rsidRDefault="2A9278A2" w:rsidP="00632720">
      <w:pPr>
        <w:pStyle w:val="berschrift5"/>
      </w:pPr>
      <w:r>
        <w:t>Accuracy and uncertainties</w:t>
      </w:r>
    </w:p>
    <w:p w14:paraId="729991D0" w14:textId="1D536878" w:rsidR="4CAD893A" w:rsidRPr="00A940A7" w:rsidRDefault="2A9278A2" w:rsidP="007F5740">
      <w:pPr>
        <w:pStyle w:val="RegPara"/>
        <w:rPr>
          <w:b/>
          <w:bCs/>
        </w:rPr>
      </w:pPr>
      <w:r w:rsidRPr="00A940A7">
        <w:t>The ERT did find one over- or under-estimation in the Solvent sector of which some are because of missing emissions as explained under Sub-Sector sector-specific recommendations.</w:t>
      </w:r>
    </w:p>
    <w:p w14:paraId="07B9012D" w14:textId="7FB04529" w:rsidR="4CAD893A" w:rsidRPr="00A940A7" w:rsidRDefault="2A9278A2" w:rsidP="007F5740">
      <w:pPr>
        <w:pStyle w:val="RegPara"/>
        <w:rPr>
          <w:b/>
          <w:bCs/>
        </w:rPr>
      </w:pPr>
      <w:r w:rsidRPr="00A940A7">
        <w:rPr>
          <w:rFonts w:eastAsia="Arial"/>
        </w:rPr>
        <w:t>The ERT notes that for the key category, emissions have not been estimated with T2 or higher methods as explained under Source Specific Recommendations and notes that using a Tier 1 method can led to under- or overestimation of emissions.</w:t>
      </w:r>
    </w:p>
    <w:p w14:paraId="49BEB9A5" w14:textId="4393DFD4" w:rsidR="4CAD893A" w:rsidRPr="00A940A7" w:rsidRDefault="2A9278A2" w:rsidP="007F5740">
      <w:pPr>
        <w:pStyle w:val="RegPara"/>
        <w:rPr>
          <w:b/>
          <w:bCs/>
        </w:rPr>
      </w:pPr>
      <w:r w:rsidRPr="00A940A7">
        <w:rPr>
          <w:rFonts w:eastAsia="Arial"/>
        </w:rPr>
        <w:t>Montenegro provided a description of the Quality management system in the IIR. Montenegro has source-specific QA/QC checks procedures for the Solvents sector. The ERT commends Montenegro on its general quality QA/QC activities, however, the ERT noted need for some additional checks as indicated under the Sub-Sector Specific Recommendations.</w:t>
      </w:r>
    </w:p>
    <w:p w14:paraId="55C1B480" w14:textId="3E400D94" w:rsidR="4CAD893A" w:rsidRPr="00A940A7" w:rsidRDefault="2A9278A2" w:rsidP="007F5740">
      <w:pPr>
        <w:pStyle w:val="RegPara"/>
        <w:rPr>
          <w:b/>
          <w:bCs/>
        </w:rPr>
      </w:pPr>
      <w:r w:rsidRPr="00A940A7">
        <w:t xml:space="preserve">Montenegro provided a quantitative a source-specific uncertainty analysis for the Solvents sector. The ERT commends Montenegro on its quantitative uncertainty analysis. </w:t>
      </w:r>
    </w:p>
    <w:p w14:paraId="030FD770" w14:textId="77777777" w:rsidR="004433D1" w:rsidRDefault="2A9278A2" w:rsidP="00632720">
      <w:pPr>
        <w:pStyle w:val="berschrift5"/>
        <w:rPr>
          <w:color w:val="365F91"/>
        </w:rPr>
      </w:pPr>
      <w:r>
        <w:lastRenderedPageBreak/>
        <w:t>Condensable</w:t>
      </w:r>
      <w:r w:rsidRPr="2A9278A2">
        <w:rPr>
          <w:color w:val="365F91"/>
        </w:rPr>
        <w:t xml:space="preserve"> </w:t>
      </w:r>
    </w:p>
    <w:p w14:paraId="4E3B2963" w14:textId="4FDDC540" w:rsidR="4CAD893A" w:rsidRPr="00A940A7" w:rsidRDefault="2A9278A2" w:rsidP="007F5740">
      <w:pPr>
        <w:pStyle w:val="RegPara"/>
        <w:rPr>
          <w:b/>
          <w:bCs/>
        </w:rPr>
      </w:pPr>
      <w:r w:rsidRPr="00A940A7">
        <w:rPr>
          <w:rFonts w:eastAsia="Arial"/>
        </w:rPr>
        <w:t>Montenegro does not provide explanatory information in the IIR of whether particle emissions include or exclude the condensable component. The ERT recommends Montenegro to include such information in the next submission following Annex II of the 2014 Reporting Guidelines.</w:t>
      </w:r>
    </w:p>
    <w:p w14:paraId="70F31967" w14:textId="77777777" w:rsidR="000404AB" w:rsidRPr="00385A7C" w:rsidRDefault="2A9278A2" w:rsidP="00632720">
      <w:pPr>
        <w:pStyle w:val="berschrift5"/>
        <w:rPr>
          <w:color w:val="365F91"/>
        </w:rPr>
      </w:pPr>
      <w:r>
        <w:t>Improvement</w:t>
      </w:r>
    </w:p>
    <w:p w14:paraId="5EE671F9" w14:textId="099E364C" w:rsidR="4CAD893A" w:rsidRPr="00A940A7" w:rsidRDefault="2A9278A2" w:rsidP="007F5740">
      <w:pPr>
        <w:pStyle w:val="RegPara"/>
      </w:pPr>
      <w:r w:rsidRPr="00A940A7">
        <w:rPr>
          <w:rFonts w:eastAsia="Arial"/>
        </w:rPr>
        <w:t xml:space="preserve">According to the IIR, Montenegro has reported on improvements made (for category NFR 2.D.3.a, for the period 1990-2019 they applied Guidebook 2019, used of default Tier 1 EFs of Guidebook 2019, and revised activity data) and planned for the next period in the IIR (for the category NFR 2.D.3.a a plan is to move from T1 to T2 for historic trend, for categories NFR 2.D.3.d, 2.D.3.e, 2.D.3.f, 2.D.3.h and 2.G a plan is to calculate emissions based on the recommended methodologies and explore new data sources for the historic trend). </w:t>
      </w:r>
    </w:p>
    <w:p w14:paraId="6C9C9BC3" w14:textId="76BA67D3" w:rsidR="4CAD893A" w:rsidRPr="00A940A7" w:rsidRDefault="2A9278A2" w:rsidP="007F5740">
      <w:pPr>
        <w:pStyle w:val="RegPara"/>
      </w:pPr>
      <w:r w:rsidRPr="00A940A7">
        <w:t>During the review, the ERT identified some additional needs for improvement as explained under Sub-Sector Specific Recommendations.</w:t>
      </w:r>
    </w:p>
    <w:p w14:paraId="3B7BF096" w14:textId="77777777" w:rsidR="00056DF4" w:rsidRPr="005F0B04" w:rsidRDefault="2A9278A2" w:rsidP="00A940A7">
      <w:pPr>
        <w:pStyle w:val="berschrift4"/>
        <w:jc w:val="both"/>
        <w:rPr>
          <w:highlight w:val="yellow"/>
        </w:rPr>
      </w:pPr>
      <w:r>
        <w:t>Potential Technical Corrections</w:t>
      </w:r>
    </w:p>
    <w:p w14:paraId="0D35B0B3" w14:textId="0DE8B323" w:rsidR="4CAD893A" w:rsidRPr="00402F45" w:rsidRDefault="2A9278A2" w:rsidP="0027042D">
      <w:pPr>
        <w:pStyle w:val="RegPara"/>
        <w:rPr>
          <w:szCs w:val="22"/>
        </w:rPr>
      </w:pPr>
      <w:r w:rsidRPr="00817634">
        <w:t xml:space="preserve">The ERT has noted possible underestimations and prepared technical corrections as listed below, using annual population statistics (source: </w:t>
      </w:r>
      <w:hyperlink r:id="rId15">
        <w:r w:rsidRPr="00402F45">
          <w:rPr>
            <w:rStyle w:val="Hyperlink"/>
            <w:szCs w:val="22"/>
            <w:lang w:val="hr"/>
          </w:rPr>
          <w:t>http://data.worldbank.org/indicator/SP.POP.TOTL</w:t>
        </w:r>
      </w:hyperlink>
      <w:r w:rsidRPr="00817634">
        <w:t>) as activity data and emission factor as recommended in the 2019 version of the Guidebook. The ERT recommends that Montenegro applies the calculated technical corrections proposed by the ERT to the following potential underestimates, or that it develops other methods that more accurately correspond to the conditions prevailing in Montenegro, to the following potential underestimates for the whole time series in the next submission</w:t>
      </w:r>
      <w:r w:rsidR="00402F45">
        <w:t xml:space="preserve">. </w:t>
      </w:r>
      <w:r w:rsidRPr="00402F45">
        <w:rPr>
          <w:szCs w:val="22"/>
        </w:rPr>
        <w:t>Technical corrections prepared by the ERT during the review</w:t>
      </w:r>
      <w:r w:rsidR="00402F45">
        <w:rPr>
          <w:szCs w:val="22"/>
        </w:rPr>
        <w:t xml:space="preserve"> see table below: </w:t>
      </w:r>
      <w:r w:rsidRPr="00402F45">
        <w:rPr>
          <w:szCs w:val="22"/>
        </w:rPr>
        <w:t xml:space="preserve"> NFR 2.D.3.f Dry cleaning: possible underestimation of NMVOC emissions for 2019, 2010 and 2005.</w:t>
      </w:r>
    </w:p>
    <w:tbl>
      <w:tblPr>
        <w:tblStyle w:val="Tabellenraster"/>
        <w:tblW w:w="0" w:type="auto"/>
        <w:tblLook w:val="04A0" w:firstRow="1" w:lastRow="0" w:firstColumn="1" w:lastColumn="0" w:noHBand="0" w:noVBand="1"/>
      </w:tblPr>
      <w:tblGrid>
        <w:gridCol w:w="975"/>
        <w:gridCol w:w="1260"/>
        <w:gridCol w:w="1446"/>
        <w:gridCol w:w="1559"/>
        <w:gridCol w:w="3010"/>
      </w:tblGrid>
      <w:tr w:rsidR="4CAD893A" w14:paraId="7AA78914" w14:textId="77777777" w:rsidTr="00402F45">
        <w:tc>
          <w:tcPr>
            <w:tcW w:w="975" w:type="dxa"/>
            <w:shd w:val="clear" w:color="auto" w:fill="A6A6A6" w:themeFill="background1" w:themeFillShade="A6"/>
          </w:tcPr>
          <w:p w14:paraId="04892524" w14:textId="3B280B45" w:rsidR="4CAD893A" w:rsidRPr="00402F45" w:rsidRDefault="2A9278A2" w:rsidP="00A940A7">
            <w:pPr>
              <w:jc w:val="both"/>
              <w:rPr>
                <w:sz w:val="20"/>
              </w:rPr>
            </w:pPr>
            <w:r w:rsidRPr="00402F45">
              <w:rPr>
                <w:b/>
                <w:bCs/>
                <w:sz w:val="20"/>
                <w:lang w:val="de"/>
              </w:rPr>
              <w:t>NFR</w:t>
            </w:r>
          </w:p>
        </w:tc>
        <w:tc>
          <w:tcPr>
            <w:tcW w:w="1260" w:type="dxa"/>
            <w:shd w:val="clear" w:color="auto" w:fill="A6A6A6" w:themeFill="background1" w:themeFillShade="A6"/>
          </w:tcPr>
          <w:p w14:paraId="24F2BC8B" w14:textId="513D4D7A" w:rsidR="4CAD893A" w:rsidRPr="00402F45" w:rsidRDefault="2A9278A2" w:rsidP="00A940A7">
            <w:pPr>
              <w:jc w:val="both"/>
              <w:rPr>
                <w:sz w:val="20"/>
              </w:rPr>
            </w:pPr>
            <w:r w:rsidRPr="00402F45">
              <w:rPr>
                <w:b/>
                <w:bCs/>
                <w:sz w:val="20"/>
                <w:lang w:val="de"/>
              </w:rPr>
              <w:t>Pollutant</w:t>
            </w:r>
          </w:p>
        </w:tc>
        <w:tc>
          <w:tcPr>
            <w:tcW w:w="1446" w:type="dxa"/>
            <w:shd w:val="clear" w:color="auto" w:fill="A6A6A6" w:themeFill="background1" w:themeFillShade="A6"/>
          </w:tcPr>
          <w:p w14:paraId="016CD260" w14:textId="21A87340" w:rsidR="4CAD893A" w:rsidRPr="00402F45" w:rsidRDefault="2A9278A2" w:rsidP="00A940A7">
            <w:pPr>
              <w:jc w:val="both"/>
              <w:rPr>
                <w:sz w:val="20"/>
              </w:rPr>
            </w:pPr>
            <w:r w:rsidRPr="00402F45">
              <w:rPr>
                <w:b/>
                <w:bCs/>
                <w:sz w:val="20"/>
                <w:lang w:val="de"/>
              </w:rPr>
              <w:t>Years</w:t>
            </w:r>
          </w:p>
        </w:tc>
        <w:tc>
          <w:tcPr>
            <w:tcW w:w="1559" w:type="dxa"/>
            <w:shd w:val="clear" w:color="auto" w:fill="A6A6A6" w:themeFill="background1" w:themeFillShade="A6"/>
          </w:tcPr>
          <w:p w14:paraId="06886C2F" w14:textId="36B11804" w:rsidR="4CAD893A" w:rsidRPr="00402F45" w:rsidRDefault="2A9278A2" w:rsidP="00A940A7">
            <w:pPr>
              <w:jc w:val="both"/>
              <w:rPr>
                <w:sz w:val="20"/>
              </w:rPr>
            </w:pPr>
            <w:r w:rsidRPr="00402F45">
              <w:rPr>
                <w:b/>
                <w:bCs/>
                <w:sz w:val="20"/>
                <w:lang w:val="de"/>
              </w:rPr>
              <w:t>Calculated by Party / ERT</w:t>
            </w:r>
          </w:p>
        </w:tc>
        <w:tc>
          <w:tcPr>
            <w:tcW w:w="3010" w:type="dxa"/>
            <w:shd w:val="clear" w:color="auto" w:fill="A6A6A6" w:themeFill="background1" w:themeFillShade="A6"/>
          </w:tcPr>
          <w:p w14:paraId="10E0BE44" w14:textId="547E2245" w:rsidR="4CAD893A" w:rsidRPr="00402F45" w:rsidRDefault="2A9278A2" w:rsidP="00A940A7">
            <w:pPr>
              <w:jc w:val="both"/>
              <w:rPr>
                <w:sz w:val="20"/>
              </w:rPr>
            </w:pPr>
            <w:r w:rsidRPr="00402F45">
              <w:rPr>
                <w:b/>
                <w:bCs/>
                <w:sz w:val="20"/>
                <w:lang w:val="en-US"/>
              </w:rPr>
              <w:t>Potential contribution to national total</w:t>
            </w:r>
          </w:p>
        </w:tc>
      </w:tr>
      <w:tr w:rsidR="4CAD893A" w14:paraId="44A9ADD7" w14:textId="77777777" w:rsidTr="00402F45">
        <w:tc>
          <w:tcPr>
            <w:tcW w:w="975" w:type="dxa"/>
          </w:tcPr>
          <w:p w14:paraId="651C46F9" w14:textId="102AAE10" w:rsidR="4CAD893A" w:rsidRPr="00402F45" w:rsidRDefault="2A9278A2" w:rsidP="00A940A7">
            <w:pPr>
              <w:jc w:val="both"/>
              <w:rPr>
                <w:sz w:val="20"/>
              </w:rPr>
            </w:pPr>
            <w:r w:rsidRPr="00402F45">
              <w:rPr>
                <w:sz w:val="20"/>
                <w:lang w:val="de"/>
              </w:rPr>
              <w:t>2.D.3.f</w:t>
            </w:r>
          </w:p>
        </w:tc>
        <w:tc>
          <w:tcPr>
            <w:tcW w:w="1260" w:type="dxa"/>
          </w:tcPr>
          <w:p w14:paraId="42C3DC07" w14:textId="518D595A" w:rsidR="4CAD893A" w:rsidRPr="00402F45" w:rsidRDefault="2A9278A2" w:rsidP="00A940A7">
            <w:pPr>
              <w:jc w:val="both"/>
              <w:rPr>
                <w:sz w:val="20"/>
              </w:rPr>
            </w:pPr>
            <w:r w:rsidRPr="00402F45">
              <w:rPr>
                <w:sz w:val="20"/>
                <w:lang w:val="de"/>
              </w:rPr>
              <w:t>NMVOC</w:t>
            </w:r>
          </w:p>
        </w:tc>
        <w:tc>
          <w:tcPr>
            <w:tcW w:w="1446" w:type="dxa"/>
          </w:tcPr>
          <w:p w14:paraId="41C0208F" w14:textId="510FAA49" w:rsidR="4CAD893A" w:rsidRPr="00402F45" w:rsidRDefault="2A9278A2" w:rsidP="00A940A7">
            <w:pPr>
              <w:jc w:val="both"/>
              <w:rPr>
                <w:sz w:val="20"/>
              </w:rPr>
            </w:pPr>
            <w:r w:rsidRPr="00402F45">
              <w:rPr>
                <w:sz w:val="20"/>
                <w:lang w:val="de"/>
              </w:rPr>
              <w:t>2005, 2010, 2019</w:t>
            </w:r>
          </w:p>
        </w:tc>
        <w:tc>
          <w:tcPr>
            <w:tcW w:w="1559" w:type="dxa"/>
          </w:tcPr>
          <w:p w14:paraId="03F87196" w14:textId="789C9E15" w:rsidR="4CAD893A" w:rsidRPr="00402F45" w:rsidRDefault="2A9278A2" w:rsidP="00A940A7">
            <w:pPr>
              <w:jc w:val="both"/>
              <w:rPr>
                <w:sz w:val="20"/>
              </w:rPr>
            </w:pPr>
            <w:r w:rsidRPr="00402F45">
              <w:rPr>
                <w:sz w:val="20"/>
              </w:rPr>
              <w:t>ERT</w:t>
            </w:r>
          </w:p>
        </w:tc>
        <w:tc>
          <w:tcPr>
            <w:tcW w:w="3010" w:type="dxa"/>
          </w:tcPr>
          <w:p w14:paraId="0293B9A6" w14:textId="3300A7AD" w:rsidR="4CAD893A" w:rsidRPr="00402F45" w:rsidRDefault="2A9278A2" w:rsidP="00A940A7">
            <w:pPr>
              <w:jc w:val="both"/>
              <w:rPr>
                <w:sz w:val="20"/>
              </w:rPr>
            </w:pPr>
            <w:r w:rsidRPr="00402F45">
              <w:rPr>
                <w:sz w:val="20"/>
                <w:lang w:val="de"/>
              </w:rPr>
              <w:t>+2.1% (2019), +1.9% (2010), +2.2% (2005)</w:t>
            </w:r>
          </w:p>
        </w:tc>
      </w:tr>
    </w:tbl>
    <w:p w14:paraId="7F8B6E36" w14:textId="77777777" w:rsidR="000404AB" w:rsidRDefault="2A9278A2" w:rsidP="00A940A7">
      <w:pPr>
        <w:pStyle w:val="berschrift4"/>
        <w:jc w:val="both"/>
      </w:pPr>
      <w:r>
        <w:t>Sub-Sector Specific Recommendations</w:t>
      </w:r>
    </w:p>
    <w:p w14:paraId="762956EA" w14:textId="12359A61" w:rsidR="00270C42" w:rsidRPr="008F3780" w:rsidRDefault="2A9278A2" w:rsidP="00632720">
      <w:pPr>
        <w:pStyle w:val="berschrift5"/>
        <w:rPr>
          <w:color w:val="365F91"/>
        </w:rPr>
      </w:pPr>
      <w:r>
        <w:t xml:space="preserve">Category issue 1: </w:t>
      </w:r>
      <w:r w:rsidRPr="2A9278A2">
        <w:t>2.D.3.a Domestic solvent use including fungicides – NMVOC – Transparency, accuracy, consistency</w:t>
      </w:r>
    </w:p>
    <w:p w14:paraId="33366335" w14:textId="77777777" w:rsidR="00632720" w:rsidRDefault="2A9278A2" w:rsidP="00632720">
      <w:pPr>
        <w:pStyle w:val="RegPara"/>
      </w:pPr>
      <w:r w:rsidRPr="00817634">
        <w:t xml:space="preserve">According to the IIR (p. 327 Table 4.31) Montenegro is planning source-specific improvements for the key category NFR 2.D.3.a (move to T2), on which the ERT commends the Party. However, there is no clear timetable for the implementation of this improvement, and the ERT asked for clarification. To the question on the issue Montenegro responded that there is currently a twinning light project in Montenegro starting, which focusses on the improvement and completeness of inventory in order to fulfil the TACC criteria, and that the issues like the higher tier for key categories or the estimates for missing sources will be addressed within this project. Montenegro also stated in their response that the results of this project will be implemented mainly </w:t>
      </w:r>
      <w:r w:rsidRPr="00817634">
        <w:lastRenderedPageBreak/>
        <w:t xml:space="preserve">in the submission 2022 and at latest in the submission 2023 (link to the project: </w:t>
      </w:r>
      <w:hyperlink r:id="rId16">
        <w:r w:rsidRPr="00817634">
          <w:rPr>
            <w:rStyle w:val="Hyperlink"/>
            <w:color w:val="auto"/>
          </w:rPr>
          <w:t>http://www.twinplace.eu/MyTwinPlace/Members/InterestDetails.aspx?3926</w:t>
        </w:r>
      </w:hyperlink>
      <w:r w:rsidRPr="00817634">
        <w:t xml:space="preserve">). </w:t>
      </w:r>
    </w:p>
    <w:p w14:paraId="61C5AC3E" w14:textId="0F3D06B1" w:rsidR="4CAD893A" w:rsidRPr="00817634" w:rsidRDefault="2A9278A2" w:rsidP="00632720">
      <w:pPr>
        <w:pStyle w:val="RegPara"/>
      </w:pPr>
      <w:r w:rsidRPr="00817634">
        <w:t>The ERT notes that according to the Reporting Guidelines paragraph 21 Parties should make every effort to use a Tier 2 or higher (detailed) methodology, including country-specific information for key categories, and recommends including all new information provided during the review, the schedule into the improvement plan and to report on progress of the work in the next IIR submissions.</w:t>
      </w:r>
    </w:p>
    <w:p w14:paraId="1B2E10F9" w14:textId="77777777" w:rsidR="00632720" w:rsidRPr="00632720" w:rsidRDefault="2A9278A2" w:rsidP="00632720">
      <w:pPr>
        <w:pStyle w:val="RegPara"/>
      </w:pPr>
      <w:r w:rsidRPr="00817634">
        <w:rPr>
          <w:rFonts w:eastAsia="Arial"/>
        </w:rPr>
        <w:t xml:space="preserve">The ERT noted in the NFR tables, the drop of NMVOC emissions in 2010 for around 6.2%. The ERT also noted that NMVOC emission in 2010 is the same as in 1990 and wanted to know if the error has occurred during the manipulation with the activity data (population number). According to Montenegro's IIR (p. 324, Table 4.28) the NMVOC emission in 2010 is 743.31 t, and in the NFR table for 2010 is 0.6958704 kt (i.e. 695.87 t), and asked Montenegro for an answer which of reported amounts for NMVOC emissions in 2010, is the correct one. </w:t>
      </w:r>
    </w:p>
    <w:p w14:paraId="4263DABD" w14:textId="18FC1E96" w:rsidR="4CAD893A" w:rsidRPr="00817634" w:rsidRDefault="2A9278A2" w:rsidP="00632720">
      <w:pPr>
        <w:pStyle w:val="RegPara"/>
      </w:pPr>
      <w:r w:rsidRPr="00817634">
        <w:rPr>
          <w:rFonts w:eastAsia="Arial"/>
        </w:rPr>
        <w:t>To the question on the issue Montenegro responded that this is a technical mistake: the link between calculation file and NFR tables is broken, and send the revised calculation file with activity data, emission factor and NMVOC emissions. The ERT recommends correcting and documenting this correction in the next submission.</w:t>
      </w:r>
    </w:p>
    <w:p w14:paraId="1A9D673C" w14:textId="48AA4636" w:rsidR="00270C42" w:rsidRPr="008F3780" w:rsidRDefault="2A9278A2" w:rsidP="00632720">
      <w:pPr>
        <w:pStyle w:val="berschrift5"/>
        <w:rPr>
          <w:color w:val="365F91"/>
        </w:rPr>
      </w:pPr>
      <w:r>
        <w:t xml:space="preserve">Category issue 2: </w:t>
      </w:r>
      <w:r w:rsidRPr="2A9278A2">
        <w:t>2.D.3.f Dry cleaning – NMVOC - Transparency, completeness</w:t>
      </w:r>
    </w:p>
    <w:p w14:paraId="36FA6771" w14:textId="77777777" w:rsidR="00632720" w:rsidRDefault="2A9278A2" w:rsidP="00632720">
      <w:pPr>
        <w:pStyle w:val="RegPara"/>
      </w:pPr>
      <w:r w:rsidRPr="00817634">
        <w:t xml:space="preserve">The ERT noted that Montenegro is using a different notation key for presenting the NMVOC emissions from this source category across the IIR and NFR tables (1990-2019): "NO" is used in NFR tables, and "NE" in the IIR (p. 297ff, Table 4.1). The ERT also noted that Montenegro included this activity in the improvement plan with high priority, but with no clear implementation schedule. The ERT commended Montenegro for including it in the improvement plan and asked for an explanation of the rational for using the notation key "NO" in the NFR tables. Moreover, the ERT asked Montenegro, while waiting the realization of the improvement plan when the annual quantity of material cleaned need to be collected, to calculate NMVOC emissions for the period 1990-2019 now, by using the annual population number and EF(NMVOC) = 0.3 kg/inhabitant given in Guidebook 2019. </w:t>
      </w:r>
    </w:p>
    <w:p w14:paraId="56DF728D" w14:textId="55E7C195" w:rsidR="4CAD893A" w:rsidRPr="00817634" w:rsidRDefault="2A9278A2" w:rsidP="00632720">
      <w:pPr>
        <w:pStyle w:val="RegPara"/>
      </w:pPr>
      <w:r w:rsidRPr="00817634">
        <w:t xml:space="preserve">To the question on the issue Montenegro responded that the use of the notation key “NO” in the IIR is not correct as in Montenegro dry cleaning facilities are available, that emissions are not yet estimated but in the framework of the Twinning light, the subcategory solvent use will be estimated according to EMEP/EEA Guidebook 2019 and according to the key category analysis. Montenegro also responded that there is currently a twinning light project in Montenegro starting, which focusses on the improvement and completeness of inventory in order to fulfil the TACC criteria, and that the issues like the higher tier for key categories or the estimates for missing sources will be addressed within this project. Montenegro also </w:t>
      </w:r>
      <w:r w:rsidRPr="00632720">
        <w:t>stated</w:t>
      </w:r>
      <w:r w:rsidRPr="00817634">
        <w:t xml:space="preserve"> in their response that the results of this project will be implemented mainly in the submission 2022 and at latest in the submission 2023 (</w:t>
      </w:r>
      <w:hyperlink r:id="rId17">
        <w:r w:rsidRPr="00817634">
          <w:rPr>
            <w:rStyle w:val="Hyperlink"/>
            <w:color w:val="auto"/>
          </w:rPr>
          <w:t>http://www.twinplace.eu/MyTwinPlace/Members/InterestDetails.aspx?3926</w:t>
        </w:r>
      </w:hyperlink>
      <w:r w:rsidR="00402F45">
        <w:t xml:space="preserve">) </w:t>
      </w:r>
      <w:r w:rsidRPr="00817634">
        <w:t>. As the ERT did not get revised estimation from Montenegro the technical corrections were prepared.</w:t>
      </w:r>
    </w:p>
    <w:p w14:paraId="1B555D40" w14:textId="3B49C4EB" w:rsidR="4CAD893A" w:rsidRPr="00817634" w:rsidRDefault="2A9278A2" w:rsidP="00632720">
      <w:pPr>
        <w:pStyle w:val="RegPara"/>
      </w:pPr>
      <w:r w:rsidRPr="00817634">
        <w:lastRenderedPageBreak/>
        <w:t>The ERT recommends including revised technical corrections in the inventory in the next submission with all new information provided during the review, the schedule into the improvement plan and to report on progress of the work in the next IIR submissions.</w:t>
      </w:r>
    </w:p>
    <w:p w14:paraId="1F43EB11" w14:textId="7DFE5FA6" w:rsidR="00270C42" w:rsidRPr="008F3780" w:rsidRDefault="2A9278A2" w:rsidP="00632720">
      <w:pPr>
        <w:pStyle w:val="berschrift5"/>
        <w:rPr>
          <w:color w:val="365F91"/>
        </w:rPr>
      </w:pPr>
      <w:r>
        <w:t xml:space="preserve">Category issue 3: </w:t>
      </w:r>
      <w:r w:rsidRPr="2A9278A2">
        <w:t>2.D.3.i Other solvent use – NMVOC – Transparency, Completeness</w:t>
      </w:r>
    </w:p>
    <w:p w14:paraId="3A31478F" w14:textId="77777777" w:rsidR="00632720" w:rsidRPr="00632720" w:rsidRDefault="4CAD893A" w:rsidP="005E5AC8">
      <w:pPr>
        <w:pStyle w:val="RegPara"/>
      </w:pPr>
      <w:r w:rsidRPr="00632720">
        <w:rPr>
          <w:rFonts w:eastAsia="Arial"/>
        </w:rPr>
        <w:t xml:space="preserve">The ERT notes that Montenegro is using a different notation key for presenting pollutants emissions from this source category: across the IIR and NFR tables (1990-2019): in the NFR tables "NE" is used for presenting the NMVOC emissions and "NO" or "NA" for all other pollutant’s emissions, while in the IIR p.297ff, Table 4.1 "NO" is used, and on p. 68 Table 1.26 "NE" for NMVOC, and "NA" for other pollutants are used. The ERT also noted that Montenegro did not include the source category NFR 2.D.3.i Other solvent use in the improvement plan in the IIR (page 386, Table 8.1). The ERT noted that this category includes many activities such as: Glass wool and Mineral wool enduction, Fat, edible and non-edible oil extraction, Application of glues and adhesives, Underseal treatment and conservation of vehicles, Vehicles dewaxing, Other (Concrete additive, Cooling lubricant, Lubricant, Pesticide, Aeroplane de-icing Agent) of which some maybe exist or existed in Montenegro during the period 1990-2019. </w:t>
      </w:r>
    </w:p>
    <w:p w14:paraId="3F3D7D07" w14:textId="77777777" w:rsidR="00632720" w:rsidRPr="00632720" w:rsidRDefault="4CAD893A" w:rsidP="005E5AC8">
      <w:pPr>
        <w:pStyle w:val="RegPara"/>
      </w:pPr>
      <w:r w:rsidRPr="00632720">
        <w:rPr>
          <w:rFonts w:eastAsia="Arial"/>
        </w:rPr>
        <w:t xml:space="preserve">Montenegro was asked for an explanation for the use of different notation keys and to provide evidence that activities in the scope of NFR 2.D.3.i don't exist in the Montenegro for the years 1990 to 2019. To the question on the issue Montenegro responded that the use of the notation key “NO” in the IIR is not correct, and that emissions are not yet estimated but in the framework of the Twinning light, the subcategory solvent use will be estimated according to EMEP/EEA Guidebook 2019 and according to the key category analysis. Montenegro also provided an information on a twinning light project starting in Montenegro, which focusses on the improvement and completeness of inventory in order to fulfil the TACC criteria and that issues like the higher tier for key categories or the estimates for missing sources will be addressed within this project. The results will be implemented mainly in the submission 2022 and at latest in the submission 2023 (link to the project: </w:t>
      </w:r>
      <w:hyperlink r:id="rId18" w:history="1">
        <w:r w:rsidR="00402F45" w:rsidRPr="00632720">
          <w:rPr>
            <w:rStyle w:val="Hyperlink"/>
            <w:rFonts w:eastAsia="Arial"/>
          </w:rPr>
          <w:t>http://www.twinplace.eu/MyTwinPlace/Members/InterestDetails.aspx?3926</w:t>
        </w:r>
      </w:hyperlink>
      <w:r w:rsidRPr="00632720">
        <w:rPr>
          <w:rFonts w:eastAsia="Arial"/>
        </w:rPr>
        <w:t>).</w:t>
      </w:r>
      <w:r w:rsidR="00402F45" w:rsidRPr="00632720">
        <w:rPr>
          <w:rFonts w:eastAsia="Arial"/>
        </w:rPr>
        <w:t xml:space="preserve"> </w:t>
      </w:r>
    </w:p>
    <w:p w14:paraId="7C099127" w14:textId="2D9B70A7" w:rsidR="00945281" w:rsidRDefault="4CAD893A" w:rsidP="005E5AC8">
      <w:pPr>
        <w:pStyle w:val="RegPara"/>
      </w:pPr>
      <w:r w:rsidRPr="00632720">
        <w:rPr>
          <w:rFonts w:eastAsia="Arial"/>
        </w:rPr>
        <w:t>The ERT recommends Montenegro correcting and documenting this correction, including all new information provided during the review, including the schedule into the improvement plan and to report on progress and the results of the work in the next IIR submissions.</w:t>
      </w:r>
      <w:r w:rsidR="00982F83">
        <w:br w:type="page"/>
      </w:r>
    </w:p>
    <w:p w14:paraId="4FED1DDA" w14:textId="3AA2D87E" w:rsidR="4E500920" w:rsidRDefault="2A9278A2" w:rsidP="4E500920">
      <w:pPr>
        <w:pStyle w:val="berschrift2"/>
      </w:pPr>
      <w:bookmarkStart w:id="45" w:name="_Toc79490436"/>
      <w:r w:rsidRPr="00867924">
        <w:lastRenderedPageBreak/>
        <w:t>Agriculture</w:t>
      </w:r>
      <w:bookmarkEnd w:id="45"/>
    </w:p>
    <w:p w14:paraId="4579FD61" w14:textId="5A5B2B4B" w:rsidR="4E500920" w:rsidRDefault="2A9278A2" w:rsidP="4E500920">
      <w:pPr>
        <w:pStyle w:val="berschrift4"/>
      </w:pPr>
      <w:r>
        <w:t>Review Scope</w:t>
      </w:r>
    </w:p>
    <w:tbl>
      <w:tblPr>
        <w:tblStyle w:val="Gitternetztabelle1hell"/>
        <w:tblW w:w="8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3260"/>
        <w:gridCol w:w="997"/>
        <w:gridCol w:w="1139"/>
        <w:gridCol w:w="1897"/>
      </w:tblGrid>
      <w:tr w:rsidR="00E216B2" w:rsidRPr="00984711" w14:paraId="2D28337E" w14:textId="77777777" w:rsidTr="00632720">
        <w:tc>
          <w:tcPr>
            <w:tcW w:w="4248" w:type="dxa"/>
            <w:gridSpan w:val="2"/>
            <w:shd w:val="clear" w:color="auto" w:fill="BFBFBF" w:themeFill="background1" w:themeFillShade="BF"/>
          </w:tcPr>
          <w:p w14:paraId="488D3D32" w14:textId="2FA9E745" w:rsidR="00E216B2" w:rsidRPr="00984711" w:rsidRDefault="00E216B2" w:rsidP="2A9278A2">
            <w:pPr>
              <w:rPr>
                <w:b/>
                <w:bCs/>
                <w:sz w:val="20"/>
              </w:rPr>
            </w:pPr>
            <w:r w:rsidRPr="00984711">
              <w:rPr>
                <w:b/>
                <w:bCs/>
                <w:sz w:val="20"/>
              </w:rPr>
              <w:t>Pollutants Reviewed</w:t>
            </w:r>
          </w:p>
        </w:tc>
        <w:tc>
          <w:tcPr>
            <w:tcW w:w="4033" w:type="dxa"/>
            <w:gridSpan w:val="3"/>
          </w:tcPr>
          <w:p w14:paraId="5E63743B" w14:textId="04721246" w:rsidR="00E216B2" w:rsidRPr="00984711" w:rsidRDefault="00E216B2" w:rsidP="2A9278A2">
            <w:pPr>
              <w:rPr>
                <w:b/>
                <w:bCs/>
                <w:sz w:val="20"/>
              </w:rPr>
            </w:pPr>
            <w:r w:rsidRPr="00112A7C">
              <w:rPr>
                <w:b/>
                <w:bCs/>
                <w:sz w:val="20"/>
                <w:lang w:val="en-US"/>
              </w:rPr>
              <w:t>NOx, NMVOC, NH</w:t>
            </w:r>
            <w:r w:rsidRPr="00112A7C">
              <w:rPr>
                <w:b/>
                <w:bCs/>
                <w:sz w:val="20"/>
                <w:vertAlign w:val="subscript"/>
                <w:lang w:val="en-US"/>
              </w:rPr>
              <w:t>3</w:t>
            </w:r>
            <w:r w:rsidRPr="00112A7C">
              <w:rPr>
                <w:b/>
                <w:bCs/>
                <w:sz w:val="20"/>
                <w:lang w:val="en-US"/>
              </w:rPr>
              <w:t>, PM</w:t>
            </w:r>
            <w:r w:rsidRPr="00112A7C">
              <w:rPr>
                <w:b/>
                <w:bCs/>
                <w:sz w:val="20"/>
                <w:vertAlign w:val="subscript"/>
                <w:lang w:val="en-US"/>
              </w:rPr>
              <w:t>10</w:t>
            </w:r>
            <w:r w:rsidRPr="00112A7C">
              <w:rPr>
                <w:b/>
                <w:bCs/>
                <w:sz w:val="20"/>
                <w:lang w:val="en-US"/>
              </w:rPr>
              <w:t xml:space="preserve"> &amp; PM</w:t>
            </w:r>
            <w:r w:rsidRPr="00112A7C">
              <w:rPr>
                <w:b/>
                <w:bCs/>
                <w:sz w:val="20"/>
                <w:vertAlign w:val="subscript"/>
                <w:lang w:val="en-US"/>
              </w:rPr>
              <w:t>2.5</w:t>
            </w:r>
          </w:p>
        </w:tc>
      </w:tr>
      <w:tr w:rsidR="00E216B2" w:rsidRPr="00984711" w14:paraId="33CE5110" w14:textId="77777777" w:rsidTr="00632720">
        <w:tc>
          <w:tcPr>
            <w:tcW w:w="4248" w:type="dxa"/>
            <w:gridSpan w:val="2"/>
            <w:shd w:val="clear" w:color="auto" w:fill="BFBFBF" w:themeFill="background1" w:themeFillShade="BF"/>
          </w:tcPr>
          <w:p w14:paraId="1ADF6326" w14:textId="0576FD71" w:rsidR="00E216B2" w:rsidRPr="00984711" w:rsidRDefault="00E216B2" w:rsidP="2A9278A2">
            <w:pPr>
              <w:rPr>
                <w:b/>
                <w:bCs/>
                <w:sz w:val="20"/>
              </w:rPr>
            </w:pPr>
            <w:r w:rsidRPr="00984711">
              <w:rPr>
                <w:b/>
                <w:bCs/>
                <w:color w:val="000000" w:themeColor="text1"/>
                <w:sz w:val="20"/>
              </w:rPr>
              <w:t>Years</w:t>
            </w:r>
          </w:p>
        </w:tc>
        <w:tc>
          <w:tcPr>
            <w:tcW w:w="4033" w:type="dxa"/>
            <w:gridSpan w:val="3"/>
          </w:tcPr>
          <w:p w14:paraId="02D532B5" w14:textId="2515E023" w:rsidR="00E216B2" w:rsidRPr="00984711" w:rsidRDefault="00E216B2" w:rsidP="2A9278A2">
            <w:pPr>
              <w:rPr>
                <w:b/>
                <w:bCs/>
                <w:sz w:val="20"/>
              </w:rPr>
            </w:pPr>
            <w:r w:rsidRPr="00984711">
              <w:rPr>
                <w:b/>
                <w:bCs/>
                <w:sz w:val="20"/>
              </w:rPr>
              <w:t xml:space="preserve">1990 – 2019 </w:t>
            </w:r>
          </w:p>
        </w:tc>
      </w:tr>
      <w:tr w:rsidR="4E500920" w:rsidRPr="00984711" w14:paraId="30EE9599" w14:textId="77777777" w:rsidTr="00632720">
        <w:tc>
          <w:tcPr>
            <w:tcW w:w="988" w:type="dxa"/>
            <w:shd w:val="clear" w:color="auto" w:fill="BFBFBF" w:themeFill="background1" w:themeFillShade="BF"/>
          </w:tcPr>
          <w:p w14:paraId="495847C7" w14:textId="33E82CF2" w:rsidR="4E500920" w:rsidRPr="00984711" w:rsidRDefault="2A9278A2" w:rsidP="2A9278A2">
            <w:pPr>
              <w:jc w:val="center"/>
              <w:rPr>
                <w:b/>
                <w:bCs/>
                <w:color w:val="000000" w:themeColor="text1"/>
                <w:sz w:val="20"/>
              </w:rPr>
            </w:pPr>
            <w:r w:rsidRPr="00984711">
              <w:rPr>
                <w:b/>
                <w:bCs/>
                <w:color w:val="000000" w:themeColor="text1"/>
                <w:sz w:val="20"/>
              </w:rPr>
              <w:t>Code</w:t>
            </w:r>
          </w:p>
        </w:tc>
        <w:tc>
          <w:tcPr>
            <w:tcW w:w="3260" w:type="dxa"/>
            <w:shd w:val="clear" w:color="auto" w:fill="BFBFBF" w:themeFill="background1" w:themeFillShade="BF"/>
          </w:tcPr>
          <w:p w14:paraId="48C75F9C" w14:textId="333F3B4A" w:rsidR="4E500920" w:rsidRPr="00984711" w:rsidRDefault="2A9278A2" w:rsidP="2A9278A2">
            <w:pPr>
              <w:jc w:val="center"/>
              <w:rPr>
                <w:b/>
                <w:bCs/>
                <w:color w:val="000000" w:themeColor="text1"/>
                <w:sz w:val="20"/>
              </w:rPr>
            </w:pPr>
            <w:r w:rsidRPr="00984711">
              <w:rPr>
                <w:b/>
                <w:bCs/>
                <w:color w:val="000000" w:themeColor="text1"/>
                <w:sz w:val="20"/>
              </w:rPr>
              <w:t>Name</w:t>
            </w:r>
          </w:p>
        </w:tc>
        <w:tc>
          <w:tcPr>
            <w:tcW w:w="997" w:type="dxa"/>
            <w:shd w:val="clear" w:color="auto" w:fill="BFBFBF" w:themeFill="background1" w:themeFillShade="BF"/>
          </w:tcPr>
          <w:p w14:paraId="188BFF53" w14:textId="1ADDAD08" w:rsidR="4E500920" w:rsidRPr="00984711" w:rsidRDefault="2A9278A2" w:rsidP="2A9278A2">
            <w:pPr>
              <w:jc w:val="center"/>
              <w:rPr>
                <w:b/>
                <w:bCs/>
                <w:color w:val="000000" w:themeColor="text1"/>
                <w:sz w:val="20"/>
              </w:rPr>
            </w:pPr>
            <w:r w:rsidRPr="00984711">
              <w:rPr>
                <w:b/>
                <w:bCs/>
                <w:color w:val="000000" w:themeColor="text1"/>
                <w:sz w:val="20"/>
              </w:rPr>
              <w:t>Reviewed</w:t>
            </w:r>
          </w:p>
        </w:tc>
        <w:tc>
          <w:tcPr>
            <w:tcW w:w="1139" w:type="dxa"/>
            <w:shd w:val="clear" w:color="auto" w:fill="BFBFBF" w:themeFill="background1" w:themeFillShade="BF"/>
          </w:tcPr>
          <w:p w14:paraId="624F12D4" w14:textId="76932251" w:rsidR="4E500920" w:rsidRPr="00984711" w:rsidRDefault="2A9278A2" w:rsidP="2A9278A2">
            <w:pPr>
              <w:jc w:val="center"/>
              <w:rPr>
                <w:b/>
                <w:bCs/>
                <w:color w:val="000000" w:themeColor="text1"/>
                <w:sz w:val="20"/>
              </w:rPr>
            </w:pPr>
            <w:r w:rsidRPr="00984711">
              <w:rPr>
                <w:b/>
                <w:bCs/>
                <w:color w:val="000000" w:themeColor="text1"/>
                <w:sz w:val="20"/>
              </w:rPr>
              <w:t>Not Reviewed</w:t>
            </w:r>
          </w:p>
        </w:tc>
        <w:tc>
          <w:tcPr>
            <w:tcW w:w="1897" w:type="dxa"/>
            <w:shd w:val="clear" w:color="auto" w:fill="BFBFBF" w:themeFill="background1" w:themeFillShade="BF"/>
          </w:tcPr>
          <w:p w14:paraId="61AAB3C5" w14:textId="3BF4CB41" w:rsidR="4E500920" w:rsidRPr="00984711" w:rsidRDefault="2A9278A2" w:rsidP="2A9278A2">
            <w:pPr>
              <w:jc w:val="center"/>
              <w:rPr>
                <w:b/>
                <w:bCs/>
                <w:color w:val="000000" w:themeColor="text1"/>
                <w:sz w:val="20"/>
              </w:rPr>
            </w:pPr>
            <w:r w:rsidRPr="00984711">
              <w:rPr>
                <w:b/>
                <w:bCs/>
                <w:color w:val="000000" w:themeColor="text1"/>
                <w:sz w:val="20"/>
              </w:rPr>
              <w:t>Recommendation Provided</w:t>
            </w:r>
          </w:p>
        </w:tc>
      </w:tr>
      <w:tr w:rsidR="4E500920" w:rsidRPr="00984711" w14:paraId="74BA9D59" w14:textId="77777777" w:rsidTr="00632720">
        <w:tc>
          <w:tcPr>
            <w:tcW w:w="988" w:type="dxa"/>
            <w:shd w:val="clear" w:color="auto" w:fill="D9D9D9" w:themeFill="background1" w:themeFillShade="D9"/>
          </w:tcPr>
          <w:p w14:paraId="396183A4" w14:textId="336E683F" w:rsidR="4E500920" w:rsidRPr="00984711" w:rsidRDefault="2A9278A2">
            <w:pPr>
              <w:rPr>
                <w:sz w:val="20"/>
              </w:rPr>
            </w:pPr>
            <w:r w:rsidRPr="00984711">
              <w:rPr>
                <w:color w:val="000000" w:themeColor="text1"/>
                <w:sz w:val="20"/>
              </w:rPr>
              <w:t>3B1a</w:t>
            </w:r>
          </w:p>
        </w:tc>
        <w:tc>
          <w:tcPr>
            <w:tcW w:w="3260" w:type="dxa"/>
            <w:shd w:val="clear" w:color="auto" w:fill="D9D9D9" w:themeFill="background1" w:themeFillShade="D9"/>
          </w:tcPr>
          <w:p w14:paraId="527838F1" w14:textId="5973557A" w:rsidR="4E500920" w:rsidRPr="00984711" w:rsidRDefault="2A9278A2">
            <w:pPr>
              <w:rPr>
                <w:sz w:val="20"/>
              </w:rPr>
            </w:pPr>
            <w:r w:rsidRPr="00984711">
              <w:rPr>
                <w:color w:val="000000" w:themeColor="text1"/>
                <w:sz w:val="20"/>
              </w:rPr>
              <w:t>Dairy cattle</w:t>
            </w:r>
          </w:p>
        </w:tc>
        <w:tc>
          <w:tcPr>
            <w:tcW w:w="997" w:type="dxa"/>
          </w:tcPr>
          <w:p w14:paraId="21889522" w14:textId="363C0E96" w:rsidR="4E500920" w:rsidRPr="00984711" w:rsidRDefault="2A9278A2" w:rsidP="2A9278A2">
            <w:pPr>
              <w:jc w:val="center"/>
              <w:rPr>
                <w:sz w:val="20"/>
              </w:rPr>
            </w:pPr>
            <w:r w:rsidRPr="00984711">
              <w:rPr>
                <w:sz w:val="20"/>
              </w:rPr>
              <w:t>X</w:t>
            </w:r>
          </w:p>
        </w:tc>
        <w:tc>
          <w:tcPr>
            <w:tcW w:w="1139" w:type="dxa"/>
          </w:tcPr>
          <w:p w14:paraId="131BB1ED" w14:textId="78ABBAD8" w:rsidR="4E500920" w:rsidRPr="00984711" w:rsidRDefault="2A9278A2" w:rsidP="2A9278A2">
            <w:pPr>
              <w:jc w:val="center"/>
              <w:rPr>
                <w:sz w:val="20"/>
              </w:rPr>
            </w:pPr>
            <w:r w:rsidRPr="00984711">
              <w:rPr>
                <w:sz w:val="20"/>
              </w:rPr>
              <w:t xml:space="preserve"> </w:t>
            </w:r>
          </w:p>
        </w:tc>
        <w:tc>
          <w:tcPr>
            <w:tcW w:w="1897" w:type="dxa"/>
          </w:tcPr>
          <w:p w14:paraId="07061516" w14:textId="181812F6" w:rsidR="4E500920" w:rsidRPr="00984711" w:rsidRDefault="2A9278A2" w:rsidP="2A9278A2">
            <w:pPr>
              <w:jc w:val="center"/>
              <w:rPr>
                <w:sz w:val="20"/>
              </w:rPr>
            </w:pPr>
            <w:r w:rsidRPr="00984711">
              <w:rPr>
                <w:sz w:val="20"/>
              </w:rPr>
              <w:t>X</w:t>
            </w:r>
          </w:p>
        </w:tc>
      </w:tr>
      <w:tr w:rsidR="4E500920" w:rsidRPr="00984711" w14:paraId="7131ED7C" w14:textId="77777777" w:rsidTr="00632720">
        <w:tc>
          <w:tcPr>
            <w:tcW w:w="988" w:type="dxa"/>
            <w:shd w:val="clear" w:color="auto" w:fill="D9D9D9" w:themeFill="background1" w:themeFillShade="D9"/>
          </w:tcPr>
          <w:p w14:paraId="3F6DE9A3" w14:textId="5F7A58EA" w:rsidR="4E500920" w:rsidRPr="00984711" w:rsidRDefault="2A9278A2">
            <w:pPr>
              <w:rPr>
                <w:sz w:val="20"/>
              </w:rPr>
            </w:pPr>
            <w:r w:rsidRPr="00984711">
              <w:rPr>
                <w:color w:val="000000" w:themeColor="text1"/>
                <w:sz w:val="20"/>
              </w:rPr>
              <w:t>3B1b</w:t>
            </w:r>
          </w:p>
        </w:tc>
        <w:tc>
          <w:tcPr>
            <w:tcW w:w="3260" w:type="dxa"/>
            <w:shd w:val="clear" w:color="auto" w:fill="D9D9D9" w:themeFill="background1" w:themeFillShade="D9"/>
          </w:tcPr>
          <w:p w14:paraId="695C5196" w14:textId="1781D5A3" w:rsidR="4E500920" w:rsidRPr="00984711" w:rsidRDefault="2A9278A2">
            <w:pPr>
              <w:rPr>
                <w:sz w:val="20"/>
              </w:rPr>
            </w:pPr>
            <w:r w:rsidRPr="00984711">
              <w:rPr>
                <w:color w:val="000000" w:themeColor="text1"/>
                <w:sz w:val="20"/>
              </w:rPr>
              <w:t>Non-dairy cattle</w:t>
            </w:r>
          </w:p>
        </w:tc>
        <w:tc>
          <w:tcPr>
            <w:tcW w:w="997" w:type="dxa"/>
          </w:tcPr>
          <w:p w14:paraId="0BA2E52F" w14:textId="6DE037BE" w:rsidR="4E500920" w:rsidRPr="00984711" w:rsidRDefault="2A9278A2" w:rsidP="2A9278A2">
            <w:pPr>
              <w:jc w:val="center"/>
              <w:rPr>
                <w:sz w:val="20"/>
              </w:rPr>
            </w:pPr>
            <w:r w:rsidRPr="00984711">
              <w:rPr>
                <w:sz w:val="20"/>
              </w:rPr>
              <w:t>X</w:t>
            </w:r>
          </w:p>
        </w:tc>
        <w:tc>
          <w:tcPr>
            <w:tcW w:w="1139" w:type="dxa"/>
          </w:tcPr>
          <w:p w14:paraId="550D4AD6" w14:textId="19076A54" w:rsidR="4E500920" w:rsidRPr="00984711" w:rsidRDefault="2A9278A2" w:rsidP="2A9278A2">
            <w:pPr>
              <w:jc w:val="center"/>
              <w:rPr>
                <w:sz w:val="20"/>
              </w:rPr>
            </w:pPr>
            <w:r w:rsidRPr="00984711">
              <w:rPr>
                <w:sz w:val="20"/>
              </w:rPr>
              <w:t xml:space="preserve"> </w:t>
            </w:r>
          </w:p>
        </w:tc>
        <w:tc>
          <w:tcPr>
            <w:tcW w:w="1897" w:type="dxa"/>
          </w:tcPr>
          <w:p w14:paraId="5322BFAF" w14:textId="2A2C6EDA" w:rsidR="4E500920" w:rsidRPr="00984711" w:rsidRDefault="2A9278A2" w:rsidP="2A9278A2">
            <w:pPr>
              <w:jc w:val="center"/>
              <w:rPr>
                <w:sz w:val="20"/>
              </w:rPr>
            </w:pPr>
            <w:r w:rsidRPr="00984711">
              <w:rPr>
                <w:sz w:val="20"/>
              </w:rPr>
              <w:t>X</w:t>
            </w:r>
          </w:p>
        </w:tc>
      </w:tr>
      <w:tr w:rsidR="4E500920" w:rsidRPr="00984711" w14:paraId="4957B077" w14:textId="77777777" w:rsidTr="00632720">
        <w:tc>
          <w:tcPr>
            <w:tcW w:w="988" w:type="dxa"/>
            <w:shd w:val="clear" w:color="auto" w:fill="D9D9D9" w:themeFill="background1" w:themeFillShade="D9"/>
          </w:tcPr>
          <w:p w14:paraId="0D9028A8" w14:textId="0E326690" w:rsidR="4E500920" w:rsidRPr="00984711" w:rsidRDefault="2A9278A2">
            <w:pPr>
              <w:rPr>
                <w:sz w:val="20"/>
              </w:rPr>
            </w:pPr>
            <w:r w:rsidRPr="00984711">
              <w:rPr>
                <w:color w:val="000000" w:themeColor="text1"/>
                <w:sz w:val="20"/>
              </w:rPr>
              <w:t>3B2</w:t>
            </w:r>
          </w:p>
        </w:tc>
        <w:tc>
          <w:tcPr>
            <w:tcW w:w="3260" w:type="dxa"/>
            <w:shd w:val="clear" w:color="auto" w:fill="D9D9D9" w:themeFill="background1" w:themeFillShade="D9"/>
          </w:tcPr>
          <w:p w14:paraId="3D1034E4" w14:textId="3625A684" w:rsidR="4E500920" w:rsidRPr="00984711" w:rsidRDefault="2A9278A2">
            <w:pPr>
              <w:rPr>
                <w:sz w:val="20"/>
              </w:rPr>
            </w:pPr>
            <w:r w:rsidRPr="00984711">
              <w:rPr>
                <w:color w:val="000000" w:themeColor="text1"/>
                <w:sz w:val="20"/>
              </w:rPr>
              <w:t>Sheep</w:t>
            </w:r>
          </w:p>
        </w:tc>
        <w:tc>
          <w:tcPr>
            <w:tcW w:w="997" w:type="dxa"/>
          </w:tcPr>
          <w:p w14:paraId="48BED376" w14:textId="13E9A713" w:rsidR="4E500920" w:rsidRPr="00984711" w:rsidRDefault="2A9278A2" w:rsidP="2A9278A2">
            <w:pPr>
              <w:jc w:val="center"/>
              <w:rPr>
                <w:sz w:val="20"/>
              </w:rPr>
            </w:pPr>
            <w:r w:rsidRPr="00984711">
              <w:rPr>
                <w:sz w:val="20"/>
              </w:rPr>
              <w:t>X</w:t>
            </w:r>
          </w:p>
        </w:tc>
        <w:tc>
          <w:tcPr>
            <w:tcW w:w="1139" w:type="dxa"/>
          </w:tcPr>
          <w:p w14:paraId="46820A56" w14:textId="55FB5E23" w:rsidR="4E500920" w:rsidRPr="00984711" w:rsidRDefault="2A9278A2" w:rsidP="2A9278A2">
            <w:pPr>
              <w:jc w:val="center"/>
              <w:rPr>
                <w:sz w:val="20"/>
              </w:rPr>
            </w:pPr>
            <w:r w:rsidRPr="00984711">
              <w:rPr>
                <w:sz w:val="20"/>
              </w:rPr>
              <w:t xml:space="preserve"> </w:t>
            </w:r>
          </w:p>
        </w:tc>
        <w:tc>
          <w:tcPr>
            <w:tcW w:w="1897" w:type="dxa"/>
          </w:tcPr>
          <w:p w14:paraId="2C283BAA" w14:textId="1270C0B9" w:rsidR="4E500920" w:rsidRPr="00984711" w:rsidRDefault="2A9278A2" w:rsidP="2A9278A2">
            <w:pPr>
              <w:jc w:val="center"/>
              <w:rPr>
                <w:sz w:val="20"/>
              </w:rPr>
            </w:pPr>
            <w:r w:rsidRPr="00984711">
              <w:rPr>
                <w:sz w:val="20"/>
              </w:rPr>
              <w:t>X</w:t>
            </w:r>
          </w:p>
        </w:tc>
      </w:tr>
      <w:tr w:rsidR="4E500920" w:rsidRPr="00984711" w14:paraId="14BAF70C" w14:textId="77777777" w:rsidTr="00632720">
        <w:tc>
          <w:tcPr>
            <w:tcW w:w="988" w:type="dxa"/>
            <w:shd w:val="clear" w:color="auto" w:fill="D9D9D9" w:themeFill="background1" w:themeFillShade="D9"/>
          </w:tcPr>
          <w:p w14:paraId="4CED83B8" w14:textId="3DA8543A" w:rsidR="4E500920" w:rsidRPr="00984711" w:rsidRDefault="2A9278A2">
            <w:pPr>
              <w:rPr>
                <w:sz w:val="20"/>
              </w:rPr>
            </w:pPr>
            <w:r w:rsidRPr="00984711">
              <w:rPr>
                <w:color w:val="000000" w:themeColor="text1"/>
                <w:sz w:val="20"/>
              </w:rPr>
              <w:t>3B3</w:t>
            </w:r>
          </w:p>
        </w:tc>
        <w:tc>
          <w:tcPr>
            <w:tcW w:w="3260" w:type="dxa"/>
            <w:shd w:val="clear" w:color="auto" w:fill="D9D9D9" w:themeFill="background1" w:themeFillShade="D9"/>
          </w:tcPr>
          <w:p w14:paraId="02A147FB" w14:textId="548CE5F9" w:rsidR="4E500920" w:rsidRPr="00984711" w:rsidRDefault="2A9278A2">
            <w:pPr>
              <w:rPr>
                <w:sz w:val="20"/>
              </w:rPr>
            </w:pPr>
            <w:r w:rsidRPr="00984711">
              <w:rPr>
                <w:color w:val="000000" w:themeColor="text1"/>
                <w:sz w:val="20"/>
              </w:rPr>
              <w:t>Swine</w:t>
            </w:r>
          </w:p>
        </w:tc>
        <w:tc>
          <w:tcPr>
            <w:tcW w:w="997" w:type="dxa"/>
          </w:tcPr>
          <w:p w14:paraId="46A985EB" w14:textId="469DB670" w:rsidR="4E500920" w:rsidRPr="00984711" w:rsidRDefault="2A9278A2" w:rsidP="2A9278A2">
            <w:pPr>
              <w:jc w:val="center"/>
              <w:rPr>
                <w:sz w:val="20"/>
              </w:rPr>
            </w:pPr>
            <w:r w:rsidRPr="00984711">
              <w:rPr>
                <w:sz w:val="20"/>
              </w:rPr>
              <w:t>X</w:t>
            </w:r>
          </w:p>
        </w:tc>
        <w:tc>
          <w:tcPr>
            <w:tcW w:w="1139" w:type="dxa"/>
          </w:tcPr>
          <w:p w14:paraId="7B8C0140" w14:textId="737B2623" w:rsidR="4E500920" w:rsidRPr="00984711" w:rsidRDefault="2A9278A2" w:rsidP="2A9278A2">
            <w:pPr>
              <w:jc w:val="center"/>
              <w:rPr>
                <w:sz w:val="20"/>
              </w:rPr>
            </w:pPr>
            <w:r w:rsidRPr="00984711">
              <w:rPr>
                <w:sz w:val="20"/>
              </w:rPr>
              <w:t xml:space="preserve"> </w:t>
            </w:r>
          </w:p>
        </w:tc>
        <w:tc>
          <w:tcPr>
            <w:tcW w:w="1897" w:type="dxa"/>
          </w:tcPr>
          <w:p w14:paraId="7279246F" w14:textId="54018BFD" w:rsidR="4E500920" w:rsidRPr="00984711" w:rsidRDefault="2A9278A2" w:rsidP="2A9278A2">
            <w:pPr>
              <w:jc w:val="center"/>
              <w:rPr>
                <w:sz w:val="20"/>
              </w:rPr>
            </w:pPr>
            <w:r w:rsidRPr="00984711">
              <w:rPr>
                <w:sz w:val="20"/>
              </w:rPr>
              <w:t>X</w:t>
            </w:r>
          </w:p>
        </w:tc>
      </w:tr>
      <w:tr w:rsidR="4E500920" w:rsidRPr="00984711" w14:paraId="7DEF8C82" w14:textId="77777777" w:rsidTr="00632720">
        <w:tc>
          <w:tcPr>
            <w:tcW w:w="988" w:type="dxa"/>
            <w:shd w:val="clear" w:color="auto" w:fill="D9D9D9" w:themeFill="background1" w:themeFillShade="D9"/>
          </w:tcPr>
          <w:p w14:paraId="2C4A84DB" w14:textId="6093FA17" w:rsidR="4E500920" w:rsidRPr="00984711" w:rsidRDefault="2A9278A2">
            <w:pPr>
              <w:rPr>
                <w:sz w:val="20"/>
              </w:rPr>
            </w:pPr>
            <w:r w:rsidRPr="00984711">
              <w:rPr>
                <w:color w:val="000000" w:themeColor="text1"/>
                <w:sz w:val="20"/>
              </w:rPr>
              <w:t>3B4a</w:t>
            </w:r>
          </w:p>
        </w:tc>
        <w:tc>
          <w:tcPr>
            <w:tcW w:w="3260" w:type="dxa"/>
            <w:shd w:val="clear" w:color="auto" w:fill="D9D9D9" w:themeFill="background1" w:themeFillShade="D9"/>
          </w:tcPr>
          <w:p w14:paraId="46B07227" w14:textId="6F7954AE" w:rsidR="4E500920" w:rsidRPr="00984711" w:rsidRDefault="2A9278A2">
            <w:pPr>
              <w:rPr>
                <w:sz w:val="20"/>
              </w:rPr>
            </w:pPr>
            <w:r w:rsidRPr="00984711">
              <w:rPr>
                <w:color w:val="000000" w:themeColor="text1"/>
                <w:sz w:val="20"/>
              </w:rPr>
              <w:t>Buffalo</w:t>
            </w:r>
          </w:p>
        </w:tc>
        <w:tc>
          <w:tcPr>
            <w:tcW w:w="997" w:type="dxa"/>
          </w:tcPr>
          <w:p w14:paraId="43E5BC69" w14:textId="0C07FF9F" w:rsidR="4E500920" w:rsidRPr="00984711" w:rsidRDefault="2A9278A2" w:rsidP="2A9278A2">
            <w:pPr>
              <w:jc w:val="center"/>
              <w:rPr>
                <w:sz w:val="20"/>
              </w:rPr>
            </w:pPr>
            <w:r w:rsidRPr="00984711">
              <w:rPr>
                <w:sz w:val="20"/>
              </w:rPr>
              <w:t xml:space="preserve"> </w:t>
            </w:r>
          </w:p>
        </w:tc>
        <w:tc>
          <w:tcPr>
            <w:tcW w:w="1139" w:type="dxa"/>
          </w:tcPr>
          <w:p w14:paraId="5A72F8A5" w14:textId="461AF6AB" w:rsidR="4E500920" w:rsidRPr="00984711" w:rsidRDefault="2A9278A2" w:rsidP="2A9278A2">
            <w:pPr>
              <w:jc w:val="center"/>
              <w:rPr>
                <w:sz w:val="20"/>
              </w:rPr>
            </w:pPr>
            <w:r w:rsidRPr="00984711">
              <w:rPr>
                <w:sz w:val="20"/>
              </w:rPr>
              <w:t>NO</w:t>
            </w:r>
          </w:p>
        </w:tc>
        <w:tc>
          <w:tcPr>
            <w:tcW w:w="1897" w:type="dxa"/>
          </w:tcPr>
          <w:p w14:paraId="49390E62" w14:textId="4DD166FF" w:rsidR="4E500920" w:rsidRPr="00984711" w:rsidRDefault="2A9278A2" w:rsidP="2A9278A2">
            <w:pPr>
              <w:jc w:val="center"/>
              <w:rPr>
                <w:sz w:val="20"/>
              </w:rPr>
            </w:pPr>
            <w:r w:rsidRPr="00984711">
              <w:rPr>
                <w:sz w:val="20"/>
              </w:rPr>
              <w:t xml:space="preserve"> </w:t>
            </w:r>
          </w:p>
        </w:tc>
      </w:tr>
      <w:tr w:rsidR="4E500920" w:rsidRPr="00984711" w14:paraId="6549FCC4" w14:textId="77777777" w:rsidTr="00632720">
        <w:tc>
          <w:tcPr>
            <w:tcW w:w="988" w:type="dxa"/>
            <w:shd w:val="clear" w:color="auto" w:fill="D9D9D9" w:themeFill="background1" w:themeFillShade="D9"/>
          </w:tcPr>
          <w:p w14:paraId="4024354D" w14:textId="6EF56986" w:rsidR="4E500920" w:rsidRPr="00984711" w:rsidRDefault="2A9278A2">
            <w:pPr>
              <w:rPr>
                <w:sz w:val="20"/>
              </w:rPr>
            </w:pPr>
            <w:r w:rsidRPr="00984711">
              <w:rPr>
                <w:color w:val="000000" w:themeColor="text1"/>
                <w:sz w:val="20"/>
              </w:rPr>
              <w:t>3B4d</w:t>
            </w:r>
          </w:p>
        </w:tc>
        <w:tc>
          <w:tcPr>
            <w:tcW w:w="3260" w:type="dxa"/>
            <w:shd w:val="clear" w:color="auto" w:fill="D9D9D9" w:themeFill="background1" w:themeFillShade="D9"/>
          </w:tcPr>
          <w:p w14:paraId="20FDC73F" w14:textId="26AD8CD5" w:rsidR="4E500920" w:rsidRPr="00984711" w:rsidRDefault="2A9278A2">
            <w:pPr>
              <w:rPr>
                <w:sz w:val="20"/>
              </w:rPr>
            </w:pPr>
            <w:r w:rsidRPr="00984711">
              <w:rPr>
                <w:color w:val="000000" w:themeColor="text1"/>
                <w:sz w:val="20"/>
              </w:rPr>
              <w:t>Goats</w:t>
            </w:r>
          </w:p>
        </w:tc>
        <w:tc>
          <w:tcPr>
            <w:tcW w:w="997" w:type="dxa"/>
          </w:tcPr>
          <w:p w14:paraId="5CACF1B5" w14:textId="34579B0B" w:rsidR="4E500920" w:rsidRPr="00984711" w:rsidRDefault="2A9278A2" w:rsidP="2A9278A2">
            <w:pPr>
              <w:jc w:val="center"/>
              <w:rPr>
                <w:sz w:val="20"/>
              </w:rPr>
            </w:pPr>
            <w:r w:rsidRPr="00984711">
              <w:rPr>
                <w:sz w:val="20"/>
              </w:rPr>
              <w:t>X</w:t>
            </w:r>
          </w:p>
        </w:tc>
        <w:tc>
          <w:tcPr>
            <w:tcW w:w="1139" w:type="dxa"/>
          </w:tcPr>
          <w:p w14:paraId="209D8B84" w14:textId="1DB5084A" w:rsidR="4E500920" w:rsidRPr="00984711" w:rsidRDefault="2A9278A2" w:rsidP="2A9278A2">
            <w:pPr>
              <w:jc w:val="center"/>
              <w:rPr>
                <w:sz w:val="20"/>
              </w:rPr>
            </w:pPr>
            <w:r w:rsidRPr="00984711">
              <w:rPr>
                <w:sz w:val="20"/>
              </w:rPr>
              <w:t xml:space="preserve"> </w:t>
            </w:r>
          </w:p>
        </w:tc>
        <w:tc>
          <w:tcPr>
            <w:tcW w:w="1897" w:type="dxa"/>
          </w:tcPr>
          <w:p w14:paraId="4F919E1C" w14:textId="59C69AF2" w:rsidR="4E500920" w:rsidRPr="00984711" w:rsidRDefault="2A9278A2" w:rsidP="2A9278A2">
            <w:pPr>
              <w:jc w:val="center"/>
              <w:rPr>
                <w:sz w:val="20"/>
              </w:rPr>
            </w:pPr>
            <w:r w:rsidRPr="00984711">
              <w:rPr>
                <w:sz w:val="20"/>
              </w:rPr>
              <w:t>X</w:t>
            </w:r>
          </w:p>
        </w:tc>
      </w:tr>
      <w:tr w:rsidR="4E500920" w:rsidRPr="00984711" w14:paraId="26B1123D" w14:textId="77777777" w:rsidTr="00632720">
        <w:tc>
          <w:tcPr>
            <w:tcW w:w="988" w:type="dxa"/>
            <w:shd w:val="clear" w:color="auto" w:fill="D9D9D9" w:themeFill="background1" w:themeFillShade="D9"/>
          </w:tcPr>
          <w:p w14:paraId="670889EC" w14:textId="2502335C" w:rsidR="4E500920" w:rsidRPr="00984711" w:rsidRDefault="2A9278A2">
            <w:pPr>
              <w:rPr>
                <w:sz w:val="20"/>
              </w:rPr>
            </w:pPr>
            <w:r w:rsidRPr="00984711">
              <w:rPr>
                <w:color w:val="000000" w:themeColor="text1"/>
                <w:sz w:val="20"/>
              </w:rPr>
              <w:t>3B4e</w:t>
            </w:r>
          </w:p>
        </w:tc>
        <w:tc>
          <w:tcPr>
            <w:tcW w:w="3260" w:type="dxa"/>
            <w:shd w:val="clear" w:color="auto" w:fill="D9D9D9" w:themeFill="background1" w:themeFillShade="D9"/>
          </w:tcPr>
          <w:p w14:paraId="3363393F" w14:textId="33E4A762" w:rsidR="4E500920" w:rsidRPr="00984711" w:rsidRDefault="2A9278A2">
            <w:pPr>
              <w:rPr>
                <w:sz w:val="20"/>
              </w:rPr>
            </w:pPr>
            <w:r w:rsidRPr="00984711">
              <w:rPr>
                <w:color w:val="000000" w:themeColor="text1"/>
                <w:sz w:val="20"/>
              </w:rPr>
              <w:t>Horses</w:t>
            </w:r>
          </w:p>
        </w:tc>
        <w:tc>
          <w:tcPr>
            <w:tcW w:w="997" w:type="dxa"/>
          </w:tcPr>
          <w:p w14:paraId="657C06B6" w14:textId="67656DF3" w:rsidR="4E500920" w:rsidRPr="00984711" w:rsidRDefault="2A9278A2" w:rsidP="2A9278A2">
            <w:pPr>
              <w:jc w:val="center"/>
              <w:rPr>
                <w:sz w:val="20"/>
              </w:rPr>
            </w:pPr>
            <w:r w:rsidRPr="00984711">
              <w:rPr>
                <w:sz w:val="20"/>
              </w:rPr>
              <w:t>X</w:t>
            </w:r>
          </w:p>
        </w:tc>
        <w:tc>
          <w:tcPr>
            <w:tcW w:w="1139" w:type="dxa"/>
          </w:tcPr>
          <w:p w14:paraId="110195B4" w14:textId="0BB9FBAB" w:rsidR="4E500920" w:rsidRPr="00984711" w:rsidRDefault="2A9278A2" w:rsidP="2A9278A2">
            <w:pPr>
              <w:jc w:val="center"/>
              <w:rPr>
                <w:sz w:val="20"/>
              </w:rPr>
            </w:pPr>
            <w:r w:rsidRPr="00984711">
              <w:rPr>
                <w:sz w:val="20"/>
              </w:rPr>
              <w:t xml:space="preserve"> </w:t>
            </w:r>
          </w:p>
        </w:tc>
        <w:tc>
          <w:tcPr>
            <w:tcW w:w="1897" w:type="dxa"/>
          </w:tcPr>
          <w:p w14:paraId="115BB0C7" w14:textId="1A763655" w:rsidR="4E500920" w:rsidRPr="00984711" w:rsidRDefault="2A9278A2" w:rsidP="2A9278A2">
            <w:pPr>
              <w:jc w:val="center"/>
              <w:rPr>
                <w:sz w:val="20"/>
              </w:rPr>
            </w:pPr>
            <w:r w:rsidRPr="00984711">
              <w:rPr>
                <w:sz w:val="20"/>
              </w:rPr>
              <w:t>X</w:t>
            </w:r>
          </w:p>
        </w:tc>
      </w:tr>
      <w:tr w:rsidR="4E500920" w:rsidRPr="00984711" w14:paraId="23AE873A" w14:textId="77777777" w:rsidTr="00632720">
        <w:tc>
          <w:tcPr>
            <w:tcW w:w="988" w:type="dxa"/>
            <w:shd w:val="clear" w:color="auto" w:fill="D9D9D9" w:themeFill="background1" w:themeFillShade="D9"/>
          </w:tcPr>
          <w:p w14:paraId="200074A4" w14:textId="49E4E8BC" w:rsidR="4E500920" w:rsidRPr="00984711" w:rsidRDefault="2A9278A2">
            <w:pPr>
              <w:rPr>
                <w:sz w:val="20"/>
              </w:rPr>
            </w:pPr>
            <w:r w:rsidRPr="00984711">
              <w:rPr>
                <w:color w:val="000000" w:themeColor="text1"/>
                <w:sz w:val="20"/>
              </w:rPr>
              <w:t>3B4f</w:t>
            </w:r>
          </w:p>
        </w:tc>
        <w:tc>
          <w:tcPr>
            <w:tcW w:w="3260" w:type="dxa"/>
            <w:shd w:val="clear" w:color="auto" w:fill="D9D9D9" w:themeFill="background1" w:themeFillShade="D9"/>
          </w:tcPr>
          <w:p w14:paraId="528557B7" w14:textId="13370C74" w:rsidR="4E500920" w:rsidRPr="00984711" w:rsidRDefault="2A9278A2">
            <w:pPr>
              <w:rPr>
                <w:sz w:val="20"/>
              </w:rPr>
            </w:pPr>
            <w:r w:rsidRPr="00984711">
              <w:rPr>
                <w:color w:val="000000" w:themeColor="text1"/>
                <w:sz w:val="20"/>
              </w:rPr>
              <w:t>Mules and asses</w:t>
            </w:r>
          </w:p>
        </w:tc>
        <w:tc>
          <w:tcPr>
            <w:tcW w:w="997" w:type="dxa"/>
          </w:tcPr>
          <w:p w14:paraId="297782AA" w14:textId="2288B496" w:rsidR="4E500920" w:rsidRPr="00984711" w:rsidRDefault="2A9278A2" w:rsidP="2A9278A2">
            <w:pPr>
              <w:jc w:val="center"/>
              <w:rPr>
                <w:sz w:val="20"/>
              </w:rPr>
            </w:pPr>
            <w:r w:rsidRPr="00984711">
              <w:rPr>
                <w:sz w:val="20"/>
              </w:rPr>
              <w:t>X</w:t>
            </w:r>
          </w:p>
        </w:tc>
        <w:tc>
          <w:tcPr>
            <w:tcW w:w="1139" w:type="dxa"/>
          </w:tcPr>
          <w:p w14:paraId="727A2941" w14:textId="7CBDF08B" w:rsidR="4E500920" w:rsidRPr="00984711" w:rsidRDefault="2A9278A2" w:rsidP="2A9278A2">
            <w:pPr>
              <w:jc w:val="center"/>
              <w:rPr>
                <w:sz w:val="20"/>
              </w:rPr>
            </w:pPr>
            <w:r w:rsidRPr="00984711">
              <w:rPr>
                <w:sz w:val="20"/>
              </w:rPr>
              <w:t xml:space="preserve"> </w:t>
            </w:r>
          </w:p>
        </w:tc>
        <w:tc>
          <w:tcPr>
            <w:tcW w:w="1897" w:type="dxa"/>
          </w:tcPr>
          <w:p w14:paraId="295D461C" w14:textId="4E4ED606" w:rsidR="4E500920" w:rsidRPr="00984711" w:rsidRDefault="2A9278A2" w:rsidP="2A9278A2">
            <w:pPr>
              <w:jc w:val="center"/>
              <w:rPr>
                <w:sz w:val="20"/>
              </w:rPr>
            </w:pPr>
            <w:r w:rsidRPr="00984711">
              <w:rPr>
                <w:sz w:val="20"/>
              </w:rPr>
              <w:t>X</w:t>
            </w:r>
          </w:p>
        </w:tc>
      </w:tr>
      <w:tr w:rsidR="4E500920" w:rsidRPr="00984711" w14:paraId="1F118277" w14:textId="77777777" w:rsidTr="00632720">
        <w:tc>
          <w:tcPr>
            <w:tcW w:w="988" w:type="dxa"/>
            <w:shd w:val="clear" w:color="auto" w:fill="D9D9D9" w:themeFill="background1" w:themeFillShade="D9"/>
          </w:tcPr>
          <w:p w14:paraId="4F50ED46" w14:textId="16F04E66" w:rsidR="4E500920" w:rsidRPr="00984711" w:rsidRDefault="2A9278A2">
            <w:pPr>
              <w:rPr>
                <w:sz w:val="20"/>
              </w:rPr>
            </w:pPr>
            <w:r w:rsidRPr="00984711">
              <w:rPr>
                <w:color w:val="000000" w:themeColor="text1"/>
                <w:sz w:val="20"/>
              </w:rPr>
              <w:t>3B4gi</w:t>
            </w:r>
          </w:p>
        </w:tc>
        <w:tc>
          <w:tcPr>
            <w:tcW w:w="3260" w:type="dxa"/>
            <w:shd w:val="clear" w:color="auto" w:fill="D9D9D9" w:themeFill="background1" w:themeFillShade="D9"/>
          </w:tcPr>
          <w:p w14:paraId="008F7A5E" w14:textId="536BCA30" w:rsidR="4E500920" w:rsidRPr="00984711" w:rsidRDefault="2A9278A2">
            <w:pPr>
              <w:rPr>
                <w:sz w:val="20"/>
              </w:rPr>
            </w:pPr>
            <w:r w:rsidRPr="00984711">
              <w:rPr>
                <w:color w:val="000000" w:themeColor="text1"/>
                <w:sz w:val="20"/>
              </w:rPr>
              <w:t>Laying hens</w:t>
            </w:r>
          </w:p>
        </w:tc>
        <w:tc>
          <w:tcPr>
            <w:tcW w:w="997" w:type="dxa"/>
          </w:tcPr>
          <w:p w14:paraId="43949127" w14:textId="4B3EEE19" w:rsidR="4E500920" w:rsidRPr="00984711" w:rsidRDefault="2A9278A2" w:rsidP="2A9278A2">
            <w:pPr>
              <w:jc w:val="center"/>
              <w:rPr>
                <w:sz w:val="20"/>
              </w:rPr>
            </w:pPr>
            <w:r w:rsidRPr="00984711">
              <w:rPr>
                <w:sz w:val="20"/>
              </w:rPr>
              <w:t>X</w:t>
            </w:r>
          </w:p>
        </w:tc>
        <w:tc>
          <w:tcPr>
            <w:tcW w:w="1139" w:type="dxa"/>
          </w:tcPr>
          <w:p w14:paraId="14CC5215" w14:textId="2D1E27FB" w:rsidR="4E500920" w:rsidRPr="00984711" w:rsidRDefault="2A9278A2" w:rsidP="2A9278A2">
            <w:pPr>
              <w:jc w:val="center"/>
              <w:rPr>
                <w:sz w:val="20"/>
              </w:rPr>
            </w:pPr>
            <w:r w:rsidRPr="00984711">
              <w:rPr>
                <w:sz w:val="20"/>
              </w:rPr>
              <w:t xml:space="preserve"> </w:t>
            </w:r>
          </w:p>
        </w:tc>
        <w:tc>
          <w:tcPr>
            <w:tcW w:w="1897" w:type="dxa"/>
          </w:tcPr>
          <w:p w14:paraId="4DA2AB4D" w14:textId="2AB72EA0" w:rsidR="4E500920" w:rsidRPr="00984711" w:rsidRDefault="2A9278A2" w:rsidP="2A9278A2">
            <w:pPr>
              <w:jc w:val="center"/>
              <w:rPr>
                <w:sz w:val="20"/>
              </w:rPr>
            </w:pPr>
            <w:r w:rsidRPr="00984711">
              <w:rPr>
                <w:sz w:val="20"/>
              </w:rPr>
              <w:t>X</w:t>
            </w:r>
          </w:p>
        </w:tc>
      </w:tr>
      <w:tr w:rsidR="4E500920" w:rsidRPr="00984711" w14:paraId="1F3CA0B3" w14:textId="77777777" w:rsidTr="00632720">
        <w:tc>
          <w:tcPr>
            <w:tcW w:w="988" w:type="dxa"/>
            <w:shd w:val="clear" w:color="auto" w:fill="D9D9D9" w:themeFill="background1" w:themeFillShade="D9"/>
          </w:tcPr>
          <w:p w14:paraId="2FCC7C7F" w14:textId="19EE65DA" w:rsidR="4E500920" w:rsidRPr="00984711" w:rsidRDefault="2A9278A2">
            <w:pPr>
              <w:rPr>
                <w:sz w:val="20"/>
              </w:rPr>
            </w:pPr>
            <w:r w:rsidRPr="00984711">
              <w:rPr>
                <w:color w:val="000000" w:themeColor="text1"/>
                <w:sz w:val="20"/>
              </w:rPr>
              <w:t>3B4gii</w:t>
            </w:r>
          </w:p>
        </w:tc>
        <w:tc>
          <w:tcPr>
            <w:tcW w:w="3260" w:type="dxa"/>
            <w:shd w:val="clear" w:color="auto" w:fill="D9D9D9" w:themeFill="background1" w:themeFillShade="D9"/>
          </w:tcPr>
          <w:p w14:paraId="7020C0D8" w14:textId="1AA96D0B" w:rsidR="4E500920" w:rsidRPr="00984711" w:rsidRDefault="2A9278A2">
            <w:pPr>
              <w:rPr>
                <w:sz w:val="20"/>
              </w:rPr>
            </w:pPr>
            <w:r w:rsidRPr="00984711">
              <w:rPr>
                <w:color w:val="000000" w:themeColor="text1"/>
                <w:sz w:val="20"/>
              </w:rPr>
              <w:t>Broilers</w:t>
            </w:r>
          </w:p>
        </w:tc>
        <w:tc>
          <w:tcPr>
            <w:tcW w:w="997" w:type="dxa"/>
          </w:tcPr>
          <w:p w14:paraId="7B642D10" w14:textId="2242E46E" w:rsidR="4E500920" w:rsidRPr="00984711" w:rsidRDefault="2A9278A2" w:rsidP="2A9278A2">
            <w:pPr>
              <w:jc w:val="center"/>
              <w:rPr>
                <w:sz w:val="20"/>
              </w:rPr>
            </w:pPr>
            <w:r w:rsidRPr="00984711">
              <w:rPr>
                <w:sz w:val="20"/>
              </w:rPr>
              <w:t>X</w:t>
            </w:r>
          </w:p>
        </w:tc>
        <w:tc>
          <w:tcPr>
            <w:tcW w:w="1139" w:type="dxa"/>
          </w:tcPr>
          <w:p w14:paraId="38B48D10" w14:textId="3F1660B2" w:rsidR="4E500920" w:rsidRPr="00984711" w:rsidRDefault="2A9278A2" w:rsidP="2A9278A2">
            <w:pPr>
              <w:jc w:val="center"/>
              <w:rPr>
                <w:sz w:val="20"/>
              </w:rPr>
            </w:pPr>
            <w:r w:rsidRPr="00984711">
              <w:rPr>
                <w:sz w:val="20"/>
              </w:rPr>
              <w:t xml:space="preserve"> </w:t>
            </w:r>
          </w:p>
        </w:tc>
        <w:tc>
          <w:tcPr>
            <w:tcW w:w="1897" w:type="dxa"/>
          </w:tcPr>
          <w:p w14:paraId="34C3A960" w14:textId="76BBDA8F" w:rsidR="4E500920" w:rsidRPr="00984711" w:rsidRDefault="2A9278A2" w:rsidP="2A9278A2">
            <w:pPr>
              <w:jc w:val="center"/>
              <w:rPr>
                <w:sz w:val="20"/>
              </w:rPr>
            </w:pPr>
            <w:r w:rsidRPr="00984711">
              <w:rPr>
                <w:sz w:val="20"/>
              </w:rPr>
              <w:t>X</w:t>
            </w:r>
          </w:p>
        </w:tc>
      </w:tr>
      <w:tr w:rsidR="4E500920" w:rsidRPr="00984711" w14:paraId="4354027A" w14:textId="77777777" w:rsidTr="00632720">
        <w:tc>
          <w:tcPr>
            <w:tcW w:w="988" w:type="dxa"/>
            <w:shd w:val="clear" w:color="auto" w:fill="D9D9D9" w:themeFill="background1" w:themeFillShade="D9"/>
          </w:tcPr>
          <w:p w14:paraId="0CDB1875" w14:textId="345AA22E" w:rsidR="4E500920" w:rsidRPr="00984711" w:rsidRDefault="2A9278A2">
            <w:pPr>
              <w:rPr>
                <w:sz w:val="20"/>
              </w:rPr>
            </w:pPr>
            <w:r w:rsidRPr="00984711">
              <w:rPr>
                <w:color w:val="000000" w:themeColor="text1"/>
                <w:sz w:val="20"/>
              </w:rPr>
              <w:t>3B4giii</w:t>
            </w:r>
          </w:p>
        </w:tc>
        <w:tc>
          <w:tcPr>
            <w:tcW w:w="3260" w:type="dxa"/>
            <w:shd w:val="clear" w:color="auto" w:fill="D9D9D9" w:themeFill="background1" w:themeFillShade="D9"/>
          </w:tcPr>
          <w:p w14:paraId="7D5CB94B" w14:textId="0D219010" w:rsidR="4E500920" w:rsidRPr="00984711" w:rsidRDefault="2A9278A2">
            <w:pPr>
              <w:rPr>
                <w:sz w:val="20"/>
              </w:rPr>
            </w:pPr>
            <w:r w:rsidRPr="00984711">
              <w:rPr>
                <w:color w:val="000000" w:themeColor="text1"/>
                <w:sz w:val="20"/>
              </w:rPr>
              <w:t>Turkeys</w:t>
            </w:r>
          </w:p>
        </w:tc>
        <w:tc>
          <w:tcPr>
            <w:tcW w:w="997" w:type="dxa"/>
          </w:tcPr>
          <w:p w14:paraId="17B6D0DB" w14:textId="2D199081" w:rsidR="4E500920" w:rsidRPr="00984711" w:rsidRDefault="2A9278A2" w:rsidP="2A9278A2">
            <w:pPr>
              <w:jc w:val="center"/>
              <w:rPr>
                <w:sz w:val="20"/>
              </w:rPr>
            </w:pPr>
            <w:r w:rsidRPr="00984711">
              <w:rPr>
                <w:sz w:val="20"/>
              </w:rPr>
              <w:t>X</w:t>
            </w:r>
          </w:p>
        </w:tc>
        <w:tc>
          <w:tcPr>
            <w:tcW w:w="1139" w:type="dxa"/>
          </w:tcPr>
          <w:p w14:paraId="2D34A88B" w14:textId="741F18CD" w:rsidR="4E500920" w:rsidRPr="00984711" w:rsidRDefault="2A9278A2" w:rsidP="2A9278A2">
            <w:pPr>
              <w:jc w:val="center"/>
              <w:rPr>
                <w:sz w:val="20"/>
              </w:rPr>
            </w:pPr>
            <w:r w:rsidRPr="00984711">
              <w:rPr>
                <w:sz w:val="20"/>
              </w:rPr>
              <w:t xml:space="preserve"> </w:t>
            </w:r>
          </w:p>
        </w:tc>
        <w:tc>
          <w:tcPr>
            <w:tcW w:w="1897" w:type="dxa"/>
          </w:tcPr>
          <w:p w14:paraId="7A1AE8AE" w14:textId="78207927" w:rsidR="4E500920" w:rsidRPr="00984711" w:rsidRDefault="2A9278A2" w:rsidP="2A9278A2">
            <w:pPr>
              <w:jc w:val="center"/>
              <w:rPr>
                <w:sz w:val="20"/>
              </w:rPr>
            </w:pPr>
            <w:r w:rsidRPr="00984711">
              <w:rPr>
                <w:sz w:val="20"/>
              </w:rPr>
              <w:t>X</w:t>
            </w:r>
          </w:p>
        </w:tc>
      </w:tr>
      <w:tr w:rsidR="4E500920" w:rsidRPr="00984711" w14:paraId="415267B3" w14:textId="77777777" w:rsidTr="00632720">
        <w:tc>
          <w:tcPr>
            <w:tcW w:w="988" w:type="dxa"/>
            <w:shd w:val="clear" w:color="auto" w:fill="D9D9D9" w:themeFill="background1" w:themeFillShade="D9"/>
          </w:tcPr>
          <w:p w14:paraId="0DE22850" w14:textId="552D7600" w:rsidR="4E500920" w:rsidRPr="00984711" w:rsidRDefault="2A9278A2">
            <w:pPr>
              <w:rPr>
                <w:sz w:val="20"/>
              </w:rPr>
            </w:pPr>
            <w:r w:rsidRPr="00984711">
              <w:rPr>
                <w:color w:val="000000" w:themeColor="text1"/>
                <w:sz w:val="20"/>
              </w:rPr>
              <w:t>3B4giv</w:t>
            </w:r>
          </w:p>
        </w:tc>
        <w:tc>
          <w:tcPr>
            <w:tcW w:w="3260" w:type="dxa"/>
            <w:shd w:val="clear" w:color="auto" w:fill="D9D9D9" w:themeFill="background1" w:themeFillShade="D9"/>
          </w:tcPr>
          <w:p w14:paraId="19E823C6" w14:textId="649AF6AF" w:rsidR="4E500920" w:rsidRPr="00984711" w:rsidRDefault="2A9278A2">
            <w:pPr>
              <w:rPr>
                <w:sz w:val="20"/>
              </w:rPr>
            </w:pPr>
            <w:r w:rsidRPr="00984711">
              <w:rPr>
                <w:color w:val="000000" w:themeColor="text1"/>
                <w:sz w:val="20"/>
              </w:rPr>
              <w:t>Other poultry</w:t>
            </w:r>
          </w:p>
        </w:tc>
        <w:tc>
          <w:tcPr>
            <w:tcW w:w="997" w:type="dxa"/>
          </w:tcPr>
          <w:p w14:paraId="0B22C2F8" w14:textId="6DEF41E3" w:rsidR="4E500920" w:rsidRPr="00984711" w:rsidRDefault="2A9278A2" w:rsidP="2A9278A2">
            <w:pPr>
              <w:jc w:val="center"/>
              <w:rPr>
                <w:sz w:val="20"/>
              </w:rPr>
            </w:pPr>
            <w:r w:rsidRPr="00984711">
              <w:rPr>
                <w:sz w:val="20"/>
              </w:rPr>
              <w:t>X</w:t>
            </w:r>
          </w:p>
        </w:tc>
        <w:tc>
          <w:tcPr>
            <w:tcW w:w="1139" w:type="dxa"/>
          </w:tcPr>
          <w:p w14:paraId="696D9BA6" w14:textId="1EAA58DA" w:rsidR="4E500920" w:rsidRPr="00984711" w:rsidRDefault="2A9278A2" w:rsidP="2A9278A2">
            <w:pPr>
              <w:jc w:val="center"/>
              <w:rPr>
                <w:sz w:val="20"/>
              </w:rPr>
            </w:pPr>
            <w:r w:rsidRPr="00984711">
              <w:rPr>
                <w:sz w:val="20"/>
              </w:rPr>
              <w:t xml:space="preserve"> </w:t>
            </w:r>
          </w:p>
        </w:tc>
        <w:tc>
          <w:tcPr>
            <w:tcW w:w="1897" w:type="dxa"/>
          </w:tcPr>
          <w:p w14:paraId="63F1D56D" w14:textId="7A4D5FCC" w:rsidR="4E500920" w:rsidRPr="00984711" w:rsidRDefault="2A9278A2" w:rsidP="2A9278A2">
            <w:pPr>
              <w:jc w:val="center"/>
              <w:rPr>
                <w:sz w:val="20"/>
              </w:rPr>
            </w:pPr>
            <w:r w:rsidRPr="00984711">
              <w:rPr>
                <w:sz w:val="20"/>
              </w:rPr>
              <w:t>X</w:t>
            </w:r>
          </w:p>
        </w:tc>
      </w:tr>
      <w:tr w:rsidR="4E500920" w:rsidRPr="00984711" w14:paraId="3B49DF76" w14:textId="77777777" w:rsidTr="00632720">
        <w:tc>
          <w:tcPr>
            <w:tcW w:w="988" w:type="dxa"/>
            <w:shd w:val="clear" w:color="auto" w:fill="D9D9D9" w:themeFill="background1" w:themeFillShade="D9"/>
          </w:tcPr>
          <w:p w14:paraId="5B0BEBB0" w14:textId="54265843" w:rsidR="4E500920" w:rsidRPr="00984711" w:rsidRDefault="2A9278A2">
            <w:pPr>
              <w:rPr>
                <w:sz w:val="20"/>
              </w:rPr>
            </w:pPr>
            <w:r w:rsidRPr="00984711">
              <w:rPr>
                <w:color w:val="000000" w:themeColor="text1"/>
                <w:sz w:val="20"/>
              </w:rPr>
              <w:t>3B4h</w:t>
            </w:r>
          </w:p>
        </w:tc>
        <w:tc>
          <w:tcPr>
            <w:tcW w:w="3260" w:type="dxa"/>
            <w:shd w:val="clear" w:color="auto" w:fill="D9D9D9" w:themeFill="background1" w:themeFillShade="D9"/>
          </w:tcPr>
          <w:p w14:paraId="7BAB028A" w14:textId="66D3CC1A" w:rsidR="4E500920" w:rsidRPr="00984711" w:rsidRDefault="2A9278A2">
            <w:pPr>
              <w:rPr>
                <w:sz w:val="20"/>
              </w:rPr>
            </w:pPr>
            <w:r w:rsidRPr="00984711">
              <w:rPr>
                <w:color w:val="000000" w:themeColor="text1"/>
                <w:sz w:val="20"/>
              </w:rPr>
              <w:t>Other animals</w:t>
            </w:r>
          </w:p>
        </w:tc>
        <w:tc>
          <w:tcPr>
            <w:tcW w:w="997" w:type="dxa"/>
          </w:tcPr>
          <w:p w14:paraId="0FF5AEE2" w14:textId="1CC94C4B" w:rsidR="4E500920" w:rsidRPr="00984711" w:rsidRDefault="2A9278A2" w:rsidP="2A9278A2">
            <w:pPr>
              <w:jc w:val="center"/>
              <w:rPr>
                <w:sz w:val="20"/>
              </w:rPr>
            </w:pPr>
            <w:r w:rsidRPr="00984711">
              <w:rPr>
                <w:sz w:val="20"/>
              </w:rPr>
              <w:t xml:space="preserve"> </w:t>
            </w:r>
          </w:p>
        </w:tc>
        <w:tc>
          <w:tcPr>
            <w:tcW w:w="1139" w:type="dxa"/>
          </w:tcPr>
          <w:p w14:paraId="74D32FBD" w14:textId="54384C06" w:rsidR="4E500920" w:rsidRPr="00984711" w:rsidRDefault="2A9278A2" w:rsidP="2A9278A2">
            <w:pPr>
              <w:jc w:val="center"/>
              <w:rPr>
                <w:sz w:val="20"/>
              </w:rPr>
            </w:pPr>
            <w:r w:rsidRPr="00984711">
              <w:rPr>
                <w:sz w:val="20"/>
              </w:rPr>
              <w:t>X</w:t>
            </w:r>
          </w:p>
        </w:tc>
        <w:tc>
          <w:tcPr>
            <w:tcW w:w="1897" w:type="dxa"/>
          </w:tcPr>
          <w:p w14:paraId="6C13AD89" w14:textId="26FF4FE9" w:rsidR="4E500920" w:rsidRPr="00984711" w:rsidRDefault="2A9278A2" w:rsidP="2A9278A2">
            <w:pPr>
              <w:jc w:val="center"/>
              <w:rPr>
                <w:sz w:val="20"/>
              </w:rPr>
            </w:pPr>
            <w:r w:rsidRPr="00984711">
              <w:rPr>
                <w:sz w:val="20"/>
              </w:rPr>
              <w:t xml:space="preserve"> </w:t>
            </w:r>
          </w:p>
        </w:tc>
      </w:tr>
      <w:tr w:rsidR="4E500920" w:rsidRPr="00984711" w14:paraId="17DEABD2" w14:textId="77777777" w:rsidTr="00632720">
        <w:tc>
          <w:tcPr>
            <w:tcW w:w="988" w:type="dxa"/>
            <w:shd w:val="clear" w:color="auto" w:fill="D9D9D9" w:themeFill="background1" w:themeFillShade="D9"/>
          </w:tcPr>
          <w:p w14:paraId="5F10364A" w14:textId="2617A85F" w:rsidR="4E500920" w:rsidRPr="00984711" w:rsidRDefault="2A9278A2">
            <w:pPr>
              <w:rPr>
                <w:sz w:val="20"/>
              </w:rPr>
            </w:pPr>
            <w:r w:rsidRPr="00984711">
              <w:rPr>
                <w:color w:val="000000" w:themeColor="text1"/>
                <w:sz w:val="20"/>
              </w:rPr>
              <w:t>3Da1</w:t>
            </w:r>
          </w:p>
        </w:tc>
        <w:tc>
          <w:tcPr>
            <w:tcW w:w="3260" w:type="dxa"/>
            <w:shd w:val="clear" w:color="auto" w:fill="D9D9D9" w:themeFill="background1" w:themeFillShade="D9"/>
          </w:tcPr>
          <w:p w14:paraId="3AD613C4" w14:textId="57843F74" w:rsidR="4E500920" w:rsidRPr="00984711" w:rsidRDefault="2A9278A2">
            <w:pPr>
              <w:rPr>
                <w:sz w:val="20"/>
              </w:rPr>
            </w:pPr>
            <w:r w:rsidRPr="00984711">
              <w:rPr>
                <w:color w:val="000000" w:themeColor="text1"/>
                <w:sz w:val="20"/>
              </w:rPr>
              <w:t>Inorganic N-fertilizers (includes also urea application)</w:t>
            </w:r>
          </w:p>
        </w:tc>
        <w:tc>
          <w:tcPr>
            <w:tcW w:w="997" w:type="dxa"/>
          </w:tcPr>
          <w:p w14:paraId="28B03000" w14:textId="62C6BD5C" w:rsidR="4E500920" w:rsidRPr="00984711" w:rsidRDefault="2A9278A2" w:rsidP="2A9278A2">
            <w:pPr>
              <w:jc w:val="center"/>
              <w:rPr>
                <w:sz w:val="20"/>
              </w:rPr>
            </w:pPr>
            <w:r w:rsidRPr="00984711">
              <w:rPr>
                <w:sz w:val="20"/>
              </w:rPr>
              <w:t>X</w:t>
            </w:r>
          </w:p>
        </w:tc>
        <w:tc>
          <w:tcPr>
            <w:tcW w:w="1139" w:type="dxa"/>
          </w:tcPr>
          <w:p w14:paraId="6574A60A" w14:textId="63B52B9A" w:rsidR="4E500920" w:rsidRPr="00984711" w:rsidRDefault="2A9278A2" w:rsidP="2A9278A2">
            <w:pPr>
              <w:jc w:val="center"/>
              <w:rPr>
                <w:sz w:val="20"/>
              </w:rPr>
            </w:pPr>
            <w:r w:rsidRPr="00984711">
              <w:rPr>
                <w:sz w:val="20"/>
              </w:rPr>
              <w:t xml:space="preserve"> </w:t>
            </w:r>
          </w:p>
        </w:tc>
        <w:tc>
          <w:tcPr>
            <w:tcW w:w="1897" w:type="dxa"/>
          </w:tcPr>
          <w:p w14:paraId="77514F9B" w14:textId="70E479F2" w:rsidR="4E500920" w:rsidRPr="00984711" w:rsidRDefault="2A9278A2" w:rsidP="2A9278A2">
            <w:pPr>
              <w:jc w:val="center"/>
              <w:rPr>
                <w:sz w:val="20"/>
              </w:rPr>
            </w:pPr>
            <w:r w:rsidRPr="00984711">
              <w:rPr>
                <w:sz w:val="20"/>
              </w:rPr>
              <w:t>X</w:t>
            </w:r>
          </w:p>
        </w:tc>
      </w:tr>
      <w:tr w:rsidR="4E500920" w:rsidRPr="00984711" w14:paraId="2252AD4C" w14:textId="77777777" w:rsidTr="00632720">
        <w:tc>
          <w:tcPr>
            <w:tcW w:w="988" w:type="dxa"/>
            <w:shd w:val="clear" w:color="auto" w:fill="D9D9D9" w:themeFill="background1" w:themeFillShade="D9"/>
          </w:tcPr>
          <w:p w14:paraId="2D9C45E0" w14:textId="4041A319" w:rsidR="4E500920" w:rsidRPr="00984711" w:rsidRDefault="2A9278A2">
            <w:pPr>
              <w:rPr>
                <w:sz w:val="20"/>
              </w:rPr>
            </w:pPr>
            <w:r w:rsidRPr="00984711">
              <w:rPr>
                <w:color w:val="000000" w:themeColor="text1"/>
                <w:sz w:val="20"/>
              </w:rPr>
              <w:t>3Da2a</w:t>
            </w:r>
          </w:p>
        </w:tc>
        <w:tc>
          <w:tcPr>
            <w:tcW w:w="3260" w:type="dxa"/>
            <w:shd w:val="clear" w:color="auto" w:fill="D9D9D9" w:themeFill="background1" w:themeFillShade="D9"/>
          </w:tcPr>
          <w:p w14:paraId="4404572F" w14:textId="65250F25" w:rsidR="4E500920" w:rsidRPr="00984711" w:rsidRDefault="2A9278A2">
            <w:pPr>
              <w:rPr>
                <w:sz w:val="20"/>
              </w:rPr>
            </w:pPr>
            <w:r w:rsidRPr="00984711">
              <w:rPr>
                <w:color w:val="000000" w:themeColor="text1"/>
                <w:sz w:val="20"/>
              </w:rPr>
              <w:t>Animal manure applied to soils</w:t>
            </w:r>
          </w:p>
        </w:tc>
        <w:tc>
          <w:tcPr>
            <w:tcW w:w="997" w:type="dxa"/>
          </w:tcPr>
          <w:p w14:paraId="37180E71" w14:textId="747CB087" w:rsidR="4E500920" w:rsidRPr="00984711" w:rsidRDefault="2A9278A2" w:rsidP="2A9278A2">
            <w:pPr>
              <w:jc w:val="center"/>
              <w:rPr>
                <w:sz w:val="20"/>
              </w:rPr>
            </w:pPr>
            <w:r w:rsidRPr="00984711">
              <w:rPr>
                <w:sz w:val="20"/>
              </w:rPr>
              <w:t>X</w:t>
            </w:r>
          </w:p>
        </w:tc>
        <w:tc>
          <w:tcPr>
            <w:tcW w:w="1139" w:type="dxa"/>
          </w:tcPr>
          <w:p w14:paraId="63266B65" w14:textId="1293A6FC" w:rsidR="4E500920" w:rsidRPr="00984711" w:rsidRDefault="2A9278A2" w:rsidP="2A9278A2">
            <w:pPr>
              <w:jc w:val="center"/>
              <w:rPr>
                <w:sz w:val="20"/>
              </w:rPr>
            </w:pPr>
            <w:r w:rsidRPr="00984711">
              <w:rPr>
                <w:sz w:val="20"/>
              </w:rPr>
              <w:t xml:space="preserve"> </w:t>
            </w:r>
          </w:p>
        </w:tc>
        <w:tc>
          <w:tcPr>
            <w:tcW w:w="1897" w:type="dxa"/>
          </w:tcPr>
          <w:p w14:paraId="0450DE23" w14:textId="054ECB84" w:rsidR="4E500920" w:rsidRPr="00984711" w:rsidRDefault="2A9278A2" w:rsidP="2A9278A2">
            <w:pPr>
              <w:jc w:val="center"/>
              <w:rPr>
                <w:sz w:val="20"/>
              </w:rPr>
            </w:pPr>
            <w:r w:rsidRPr="00984711">
              <w:rPr>
                <w:sz w:val="20"/>
              </w:rPr>
              <w:t>X</w:t>
            </w:r>
          </w:p>
        </w:tc>
      </w:tr>
      <w:tr w:rsidR="4E500920" w:rsidRPr="00984711" w14:paraId="621F7567" w14:textId="77777777" w:rsidTr="00632720">
        <w:tc>
          <w:tcPr>
            <w:tcW w:w="988" w:type="dxa"/>
            <w:shd w:val="clear" w:color="auto" w:fill="D9D9D9" w:themeFill="background1" w:themeFillShade="D9"/>
          </w:tcPr>
          <w:p w14:paraId="45FB76E9" w14:textId="20801A36" w:rsidR="4E500920" w:rsidRPr="00984711" w:rsidRDefault="2A9278A2">
            <w:pPr>
              <w:rPr>
                <w:sz w:val="20"/>
              </w:rPr>
            </w:pPr>
            <w:r w:rsidRPr="00984711">
              <w:rPr>
                <w:color w:val="000000" w:themeColor="text1"/>
                <w:sz w:val="20"/>
              </w:rPr>
              <w:t>3Da2b</w:t>
            </w:r>
          </w:p>
        </w:tc>
        <w:tc>
          <w:tcPr>
            <w:tcW w:w="3260" w:type="dxa"/>
            <w:shd w:val="clear" w:color="auto" w:fill="D9D9D9" w:themeFill="background1" w:themeFillShade="D9"/>
          </w:tcPr>
          <w:p w14:paraId="5FF90ABC" w14:textId="053E13C7" w:rsidR="4E500920" w:rsidRPr="00984711" w:rsidRDefault="2A9278A2">
            <w:pPr>
              <w:rPr>
                <w:sz w:val="20"/>
              </w:rPr>
            </w:pPr>
            <w:r w:rsidRPr="00984711">
              <w:rPr>
                <w:color w:val="000000" w:themeColor="text1"/>
                <w:sz w:val="20"/>
              </w:rPr>
              <w:t>Sewage sludge applied to soils</w:t>
            </w:r>
          </w:p>
        </w:tc>
        <w:tc>
          <w:tcPr>
            <w:tcW w:w="997" w:type="dxa"/>
          </w:tcPr>
          <w:p w14:paraId="29AD809A" w14:textId="532D872D" w:rsidR="4E500920" w:rsidRPr="00984711" w:rsidRDefault="2A9278A2" w:rsidP="2A9278A2">
            <w:pPr>
              <w:jc w:val="center"/>
              <w:rPr>
                <w:sz w:val="20"/>
              </w:rPr>
            </w:pPr>
            <w:r w:rsidRPr="00984711">
              <w:rPr>
                <w:sz w:val="20"/>
              </w:rPr>
              <w:t>X</w:t>
            </w:r>
          </w:p>
        </w:tc>
        <w:tc>
          <w:tcPr>
            <w:tcW w:w="1139" w:type="dxa"/>
          </w:tcPr>
          <w:p w14:paraId="0B8F18C0" w14:textId="1F11E07A" w:rsidR="4E500920" w:rsidRPr="00984711" w:rsidRDefault="2A9278A2" w:rsidP="2A9278A2">
            <w:pPr>
              <w:jc w:val="center"/>
              <w:rPr>
                <w:sz w:val="20"/>
              </w:rPr>
            </w:pPr>
            <w:r w:rsidRPr="00984711">
              <w:rPr>
                <w:sz w:val="20"/>
              </w:rPr>
              <w:t xml:space="preserve"> </w:t>
            </w:r>
          </w:p>
        </w:tc>
        <w:tc>
          <w:tcPr>
            <w:tcW w:w="1897" w:type="dxa"/>
          </w:tcPr>
          <w:p w14:paraId="29F1BC96" w14:textId="29FD1003" w:rsidR="4E500920" w:rsidRPr="00984711" w:rsidRDefault="2A9278A2" w:rsidP="2A9278A2">
            <w:pPr>
              <w:jc w:val="center"/>
              <w:rPr>
                <w:sz w:val="20"/>
              </w:rPr>
            </w:pPr>
            <w:r w:rsidRPr="00984711">
              <w:rPr>
                <w:sz w:val="20"/>
              </w:rPr>
              <w:t>X</w:t>
            </w:r>
          </w:p>
        </w:tc>
      </w:tr>
      <w:tr w:rsidR="4E500920" w:rsidRPr="00984711" w14:paraId="5DDDB5BD" w14:textId="77777777" w:rsidTr="00632720">
        <w:tc>
          <w:tcPr>
            <w:tcW w:w="988" w:type="dxa"/>
            <w:shd w:val="clear" w:color="auto" w:fill="D9D9D9" w:themeFill="background1" w:themeFillShade="D9"/>
          </w:tcPr>
          <w:p w14:paraId="75819534" w14:textId="02339CAF" w:rsidR="4E500920" w:rsidRPr="00984711" w:rsidRDefault="2A9278A2">
            <w:pPr>
              <w:rPr>
                <w:sz w:val="20"/>
              </w:rPr>
            </w:pPr>
            <w:r w:rsidRPr="00984711">
              <w:rPr>
                <w:color w:val="000000" w:themeColor="text1"/>
                <w:sz w:val="20"/>
              </w:rPr>
              <w:t>3Da2c</w:t>
            </w:r>
          </w:p>
        </w:tc>
        <w:tc>
          <w:tcPr>
            <w:tcW w:w="3260" w:type="dxa"/>
            <w:shd w:val="clear" w:color="auto" w:fill="D9D9D9" w:themeFill="background1" w:themeFillShade="D9"/>
          </w:tcPr>
          <w:p w14:paraId="24958491" w14:textId="6E04AFD8" w:rsidR="4E500920" w:rsidRPr="00984711" w:rsidRDefault="2A9278A2">
            <w:pPr>
              <w:rPr>
                <w:sz w:val="20"/>
              </w:rPr>
            </w:pPr>
            <w:r w:rsidRPr="00984711">
              <w:rPr>
                <w:color w:val="000000" w:themeColor="text1"/>
                <w:sz w:val="20"/>
              </w:rPr>
              <w:t>Other organic fertilisers applied to soils</w:t>
            </w:r>
          </w:p>
          <w:p w14:paraId="7EE9EFF7" w14:textId="38F79C51" w:rsidR="4E500920" w:rsidRPr="00984711" w:rsidRDefault="2A9278A2">
            <w:pPr>
              <w:rPr>
                <w:sz w:val="20"/>
              </w:rPr>
            </w:pPr>
            <w:r w:rsidRPr="00984711">
              <w:rPr>
                <w:color w:val="000000" w:themeColor="text1"/>
                <w:sz w:val="20"/>
              </w:rPr>
              <w:t>(including compost)</w:t>
            </w:r>
          </w:p>
        </w:tc>
        <w:tc>
          <w:tcPr>
            <w:tcW w:w="997" w:type="dxa"/>
          </w:tcPr>
          <w:p w14:paraId="28302C60" w14:textId="18DB88DA" w:rsidR="4E500920" w:rsidRPr="00984711" w:rsidRDefault="2A9278A2" w:rsidP="2A9278A2">
            <w:pPr>
              <w:jc w:val="center"/>
              <w:rPr>
                <w:sz w:val="20"/>
              </w:rPr>
            </w:pPr>
            <w:r w:rsidRPr="00984711">
              <w:rPr>
                <w:sz w:val="20"/>
              </w:rPr>
              <w:t>X</w:t>
            </w:r>
          </w:p>
        </w:tc>
        <w:tc>
          <w:tcPr>
            <w:tcW w:w="1139" w:type="dxa"/>
          </w:tcPr>
          <w:p w14:paraId="74B984A7" w14:textId="0FF104D8" w:rsidR="4E500920" w:rsidRPr="00984711" w:rsidRDefault="2A9278A2" w:rsidP="2A9278A2">
            <w:pPr>
              <w:jc w:val="center"/>
              <w:rPr>
                <w:sz w:val="20"/>
              </w:rPr>
            </w:pPr>
            <w:r w:rsidRPr="00984711">
              <w:rPr>
                <w:sz w:val="20"/>
              </w:rPr>
              <w:t xml:space="preserve"> </w:t>
            </w:r>
          </w:p>
        </w:tc>
        <w:tc>
          <w:tcPr>
            <w:tcW w:w="1897" w:type="dxa"/>
          </w:tcPr>
          <w:p w14:paraId="3503F01F" w14:textId="42D180B4" w:rsidR="4E500920" w:rsidRPr="00984711" w:rsidRDefault="2A9278A2" w:rsidP="2A9278A2">
            <w:pPr>
              <w:jc w:val="center"/>
              <w:rPr>
                <w:sz w:val="20"/>
              </w:rPr>
            </w:pPr>
            <w:r w:rsidRPr="00984711">
              <w:rPr>
                <w:sz w:val="20"/>
              </w:rPr>
              <w:t>X</w:t>
            </w:r>
          </w:p>
        </w:tc>
      </w:tr>
      <w:tr w:rsidR="4E500920" w:rsidRPr="00984711" w14:paraId="507CA338" w14:textId="77777777" w:rsidTr="00632720">
        <w:tc>
          <w:tcPr>
            <w:tcW w:w="988" w:type="dxa"/>
            <w:shd w:val="clear" w:color="auto" w:fill="D9D9D9" w:themeFill="background1" w:themeFillShade="D9"/>
          </w:tcPr>
          <w:p w14:paraId="57E20C92" w14:textId="17E3B20E" w:rsidR="4E500920" w:rsidRPr="00984711" w:rsidRDefault="2A9278A2">
            <w:pPr>
              <w:rPr>
                <w:sz w:val="20"/>
              </w:rPr>
            </w:pPr>
            <w:r w:rsidRPr="00984711">
              <w:rPr>
                <w:color w:val="000000" w:themeColor="text1"/>
                <w:sz w:val="20"/>
              </w:rPr>
              <w:t>3Da3</w:t>
            </w:r>
          </w:p>
        </w:tc>
        <w:tc>
          <w:tcPr>
            <w:tcW w:w="3260" w:type="dxa"/>
            <w:shd w:val="clear" w:color="auto" w:fill="D9D9D9" w:themeFill="background1" w:themeFillShade="D9"/>
          </w:tcPr>
          <w:p w14:paraId="18A3E62E" w14:textId="7106B3DD" w:rsidR="4E500920" w:rsidRPr="00984711" w:rsidRDefault="2A9278A2">
            <w:pPr>
              <w:rPr>
                <w:sz w:val="20"/>
              </w:rPr>
            </w:pPr>
            <w:r w:rsidRPr="00984711">
              <w:rPr>
                <w:color w:val="000000" w:themeColor="text1"/>
                <w:sz w:val="20"/>
              </w:rPr>
              <w:t>Urine and dung deposited by grazing animals</w:t>
            </w:r>
          </w:p>
        </w:tc>
        <w:tc>
          <w:tcPr>
            <w:tcW w:w="997" w:type="dxa"/>
          </w:tcPr>
          <w:p w14:paraId="05E8D90C" w14:textId="65DE7E8B" w:rsidR="4E500920" w:rsidRPr="00984711" w:rsidRDefault="2A9278A2" w:rsidP="2A9278A2">
            <w:pPr>
              <w:jc w:val="center"/>
              <w:rPr>
                <w:sz w:val="20"/>
              </w:rPr>
            </w:pPr>
            <w:r w:rsidRPr="00984711">
              <w:rPr>
                <w:sz w:val="20"/>
              </w:rPr>
              <w:t>X</w:t>
            </w:r>
          </w:p>
        </w:tc>
        <w:tc>
          <w:tcPr>
            <w:tcW w:w="1139" w:type="dxa"/>
          </w:tcPr>
          <w:p w14:paraId="2AFAC3D9" w14:textId="33EBCE23" w:rsidR="4E500920" w:rsidRPr="00984711" w:rsidRDefault="2A9278A2" w:rsidP="2A9278A2">
            <w:pPr>
              <w:jc w:val="center"/>
              <w:rPr>
                <w:sz w:val="20"/>
              </w:rPr>
            </w:pPr>
            <w:r w:rsidRPr="00984711">
              <w:rPr>
                <w:sz w:val="20"/>
              </w:rPr>
              <w:t xml:space="preserve"> </w:t>
            </w:r>
          </w:p>
        </w:tc>
        <w:tc>
          <w:tcPr>
            <w:tcW w:w="1897" w:type="dxa"/>
          </w:tcPr>
          <w:p w14:paraId="1D6A0FC2" w14:textId="72D1ACA7" w:rsidR="4E500920" w:rsidRPr="00984711" w:rsidRDefault="2A9278A2" w:rsidP="2A9278A2">
            <w:pPr>
              <w:jc w:val="center"/>
              <w:rPr>
                <w:sz w:val="20"/>
              </w:rPr>
            </w:pPr>
            <w:r w:rsidRPr="00984711">
              <w:rPr>
                <w:sz w:val="20"/>
              </w:rPr>
              <w:t>X</w:t>
            </w:r>
          </w:p>
        </w:tc>
      </w:tr>
      <w:tr w:rsidR="4E500920" w:rsidRPr="00984711" w14:paraId="1471FD2E" w14:textId="77777777" w:rsidTr="00632720">
        <w:tc>
          <w:tcPr>
            <w:tcW w:w="988" w:type="dxa"/>
            <w:shd w:val="clear" w:color="auto" w:fill="D9D9D9" w:themeFill="background1" w:themeFillShade="D9"/>
          </w:tcPr>
          <w:p w14:paraId="16A88B63" w14:textId="5B559911" w:rsidR="4E500920" w:rsidRPr="00984711" w:rsidRDefault="2A9278A2">
            <w:pPr>
              <w:rPr>
                <w:sz w:val="20"/>
              </w:rPr>
            </w:pPr>
            <w:r w:rsidRPr="00984711">
              <w:rPr>
                <w:color w:val="000000" w:themeColor="text1"/>
                <w:sz w:val="20"/>
              </w:rPr>
              <w:t>3Da4</w:t>
            </w:r>
          </w:p>
        </w:tc>
        <w:tc>
          <w:tcPr>
            <w:tcW w:w="3260" w:type="dxa"/>
            <w:shd w:val="clear" w:color="auto" w:fill="D9D9D9" w:themeFill="background1" w:themeFillShade="D9"/>
          </w:tcPr>
          <w:p w14:paraId="43E6E823" w14:textId="1B9374A3" w:rsidR="4E500920" w:rsidRPr="00984711" w:rsidRDefault="2A9278A2">
            <w:pPr>
              <w:rPr>
                <w:sz w:val="20"/>
              </w:rPr>
            </w:pPr>
            <w:r w:rsidRPr="00984711">
              <w:rPr>
                <w:color w:val="000000" w:themeColor="text1"/>
                <w:sz w:val="20"/>
              </w:rPr>
              <w:t>Crop residues applied to soils</w:t>
            </w:r>
          </w:p>
        </w:tc>
        <w:tc>
          <w:tcPr>
            <w:tcW w:w="997" w:type="dxa"/>
          </w:tcPr>
          <w:p w14:paraId="09ADED8C" w14:textId="56217733" w:rsidR="4E500920" w:rsidRPr="00984711" w:rsidRDefault="2A9278A2" w:rsidP="2A9278A2">
            <w:pPr>
              <w:jc w:val="center"/>
              <w:rPr>
                <w:sz w:val="20"/>
              </w:rPr>
            </w:pPr>
            <w:r w:rsidRPr="00984711">
              <w:rPr>
                <w:sz w:val="20"/>
              </w:rPr>
              <w:t>X</w:t>
            </w:r>
          </w:p>
        </w:tc>
        <w:tc>
          <w:tcPr>
            <w:tcW w:w="1139" w:type="dxa"/>
          </w:tcPr>
          <w:p w14:paraId="39F37F64" w14:textId="01C530EF" w:rsidR="4E500920" w:rsidRPr="00984711" w:rsidRDefault="2A9278A2" w:rsidP="2A9278A2">
            <w:pPr>
              <w:jc w:val="center"/>
              <w:rPr>
                <w:sz w:val="20"/>
              </w:rPr>
            </w:pPr>
            <w:r w:rsidRPr="00984711">
              <w:rPr>
                <w:sz w:val="20"/>
              </w:rPr>
              <w:t xml:space="preserve"> </w:t>
            </w:r>
          </w:p>
        </w:tc>
        <w:tc>
          <w:tcPr>
            <w:tcW w:w="1897" w:type="dxa"/>
          </w:tcPr>
          <w:p w14:paraId="534F1286" w14:textId="32B4E111" w:rsidR="4E500920" w:rsidRPr="00984711" w:rsidRDefault="2A9278A2" w:rsidP="2A9278A2">
            <w:pPr>
              <w:jc w:val="center"/>
              <w:rPr>
                <w:sz w:val="20"/>
              </w:rPr>
            </w:pPr>
            <w:r w:rsidRPr="00984711">
              <w:rPr>
                <w:sz w:val="20"/>
              </w:rPr>
              <w:t>X</w:t>
            </w:r>
          </w:p>
        </w:tc>
      </w:tr>
      <w:tr w:rsidR="4E500920" w:rsidRPr="00984711" w14:paraId="1EB07726" w14:textId="77777777" w:rsidTr="00632720">
        <w:tc>
          <w:tcPr>
            <w:tcW w:w="988" w:type="dxa"/>
            <w:shd w:val="clear" w:color="auto" w:fill="D9D9D9" w:themeFill="background1" w:themeFillShade="D9"/>
          </w:tcPr>
          <w:p w14:paraId="61D552CF" w14:textId="14B19E6F" w:rsidR="4E500920" w:rsidRPr="00984711" w:rsidRDefault="2A9278A2">
            <w:pPr>
              <w:rPr>
                <w:sz w:val="20"/>
              </w:rPr>
            </w:pPr>
            <w:r w:rsidRPr="00984711">
              <w:rPr>
                <w:color w:val="000000" w:themeColor="text1"/>
                <w:sz w:val="20"/>
              </w:rPr>
              <w:t>3Db</w:t>
            </w:r>
          </w:p>
        </w:tc>
        <w:tc>
          <w:tcPr>
            <w:tcW w:w="3260" w:type="dxa"/>
            <w:shd w:val="clear" w:color="auto" w:fill="D9D9D9" w:themeFill="background1" w:themeFillShade="D9"/>
          </w:tcPr>
          <w:p w14:paraId="47575299" w14:textId="0DEFBE90" w:rsidR="4E500920" w:rsidRPr="00984711" w:rsidRDefault="2A9278A2">
            <w:pPr>
              <w:rPr>
                <w:sz w:val="20"/>
              </w:rPr>
            </w:pPr>
            <w:r w:rsidRPr="00984711">
              <w:rPr>
                <w:color w:val="000000" w:themeColor="text1"/>
                <w:sz w:val="20"/>
              </w:rPr>
              <w:t>Indirect emissions from managed soils</w:t>
            </w:r>
          </w:p>
        </w:tc>
        <w:tc>
          <w:tcPr>
            <w:tcW w:w="997" w:type="dxa"/>
          </w:tcPr>
          <w:p w14:paraId="02818EF8" w14:textId="1A91C6B3" w:rsidR="4E500920" w:rsidRPr="00984711" w:rsidRDefault="2A9278A2" w:rsidP="2A9278A2">
            <w:pPr>
              <w:jc w:val="center"/>
              <w:rPr>
                <w:sz w:val="20"/>
              </w:rPr>
            </w:pPr>
            <w:r w:rsidRPr="00984711">
              <w:rPr>
                <w:sz w:val="20"/>
              </w:rPr>
              <w:t>X</w:t>
            </w:r>
          </w:p>
        </w:tc>
        <w:tc>
          <w:tcPr>
            <w:tcW w:w="1139" w:type="dxa"/>
          </w:tcPr>
          <w:p w14:paraId="141DF16C" w14:textId="2C00ED7D" w:rsidR="4E500920" w:rsidRPr="00984711" w:rsidRDefault="2A9278A2" w:rsidP="2A9278A2">
            <w:pPr>
              <w:jc w:val="center"/>
              <w:rPr>
                <w:sz w:val="20"/>
              </w:rPr>
            </w:pPr>
            <w:r w:rsidRPr="00984711">
              <w:rPr>
                <w:sz w:val="20"/>
              </w:rPr>
              <w:t xml:space="preserve"> </w:t>
            </w:r>
          </w:p>
        </w:tc>
        <w:tc>
          <w:tcPr>
            <w:tcW w:w="1897" w:type="dxa"/>
          </w:tcPr>
          <w:p w14:paraId="2DB72B19" w14:textId="503A5851" w:rsidR="4E500920" w:rsidRPr="00984711" w:rsidRDefault="2A9278A2" w:rsidP="2A9278A2">
            <w:pPr>
              <w:jc w:val="center"/>
              <w:rPr>
                <w:sz w:val="20"/>
              </w:rPr>
            </w:pPr>
            <w:r w:rsidRPr="00984711">
              <w:rPr>
                <w:sz w:val="20"/>
              </w:rPr>
              <w:t>X</w:t>
            </w:r>
          </w:p>
        </w:tc>
      </w:tr>
      <w:tr w:rsidR="4E500920" w:rsidRPr="00984711" w14:paraId="34A29A6C" w14:textId="77777777" w:rsidTr="00632720">
        <w:tc>
          <w:tcPr>
            <w:tcW w:w="988" w:type="dxa"/>
            <w:shd w:val="clear" w:color="auto" w:fill="D9D9D9" w:themeFill="background1" w:themeFillShade="D9"/>
          </w:tcPr>
          <w:p w14:paraId="1CB64290" w14:textId="271AC5B5" w:rsidR="4E500920" w:rsidRPr="00984711" w:rsidRDefault="2A9278A2">
            <w:pPr>
              <w:rPr>
                <w:sz w:val="20"/>
              </w:rPr>
            </w:pPr>
            <w:r w:rsidRPr="00984711">
              <w:rPr>
                <w:color w:val="000000" w:themeColor="text1"/>
                <w:sz w:val="20"/>
              </w:rPr>
              <w:t>3Dc</w:t>
            </w:r>
          </w:p>
        </w:tc>
        <w:tc>
          <w:tcPr>
            <w:tcW w:w="3260" w:type="dxa"/>
            <w:shd w:val="clear" w:color="auto" w:fill="D9D9D9" w:themeFill="background1" w:themeFillShade="D9"/>
          </w:tcPr>
          <w:p w14:paraId="5F9A8C31" w14:textId="279D6659" w:rsidR="4E500920" w:rsidRPr="00984711" w:rsidRDefault="2A9278A2">
            <w:pPr>
              <w:rPr>
                <w:sz w:val="20"/>
              </w:rPr>
            </w:pPr>
            <w:r w:rsidRPr="00984711">
              <w:rPr>
                <w:color w:val="000000" w:themeColor="text1"/>
                <w:sz w:val="20"/>
              </w:rPr>
              <w:t>Farm-level agricultural operations including storage, handling and transport of agricultural products</w:t>
            </w:r>
          </w:p>
        </w:tc>
        <w:tc>
          <w:tcPr>
            <w:tcW w:w="997" w:type="dxa"/>
          </w:tcPr>
          <w:p w14:paraId="25110AED" w14:textId="4946B5CD" w:rsidR="4E500920" w:rsidRPr="00984711" w:rsidRDefault="2A9278A2" w:rsidP="2A9278A2">
            <w:pPr>
              <w:jc w:val="center"/>
              <w:rPr>
                <w:sz w:val="20"/>
              </w:rPr>
            </w:pPr>
            <w:r w:rsidRPr="00984711">
              <w:rPr>
                <w:sz w:val="20"/>
              </w:rPr>
              <w:t xml:space="preserve"> </w:t>
            </w:r>
          </w:p>
        </w:tc>
        <w:tc>
          <w:tcPr>
            <w:tcW w:w="1139" w:type="dxa"/>
          </w:tcPr>
          <w:p w14:paraId="0C69663A" w14:textId="607903E9" w:rsidR="4E500920" w:rsidRPr="00984711" w:rsidRDefault="2A9278A2" w:rsidP="2A9278A2">
            <w:pPr>
              <w:jc w:val="center"/>
              <w:rPr>
                <w:sz w:val="20"/>
              </w:rPr>
            </w:pPr>
            <w:r w:rsidRPr="00984711">
              <w:rPr>
                <w:sz w:val="20"/>
              </w:rPr>
              <w:t>X</w:t>
            </w:r>
          </w:p>
        </w:tc>
        <w:tc>
          <w:tcPr>
            <w:tcW w:w="1897" w:type="dxa"/>
          </w:tcPr>
          <w:p w14:paraId="1741FD40" w14:textId="71BF4D8A" w:rsidR="4E500920" w:rsidRPr="00984711" w:rsidRDefault="2A9278A2" w:rsidP="2A9278A2">
            <w:pPr>
              <w:jc w:val="center"/>
              <w:rPr>
                <w:sz w:val="20"/>
              </w:rPr>
            </w:pPr>
            <w:r w:rsidRPr="00984711">
              <w:rPr>
                <w:sz w:val="20"/>
              </w:rPr>
              <w:t xml:space="preserve"> </w:t>
            </w:r>
          </w:p>
        </w:tc>
      </w:tr>
      <w:tr w:rsidR="4E500920" w:rsidRPr="00984711" w14:paraId="286F1C90" w14:textId="77777777" w:rsidTr="00632720">
        <w:tc>
          <w:tcPr>
            <w:tcW w:w="988" w:type="dxa"/>
            <w:shd w:val="clear" w:color="auto" w:fill="D9D9D9" w:themeFill="background1" w:themeFillShade="D9"/>
          </w:tcPr>
          <w:p w14:paraId="33415FD8" w14:textId="498CD484" w:rsidR="4E500920" w:rsidRPr="00984711" w:rsidRDefault="2A9278A2">
            <w:pPr>
              <w:rPr>
                <w:sz w:val="20"/>
              </w:rPr>
            </w:pPr>
            <w:r w:rsidRPr="00984711">
              <w:rPr>
                <w:color w:val="000000" w:themeColor="text1"/>
                <w:sz w:val="20"/>
              </w:rPr>
              <w:t>3Dd</w:t>
            </w:r>
          </w:p>
        </w:tc>
        <w:tc>
          <w:tcPr>
            <w:tcW w:w="3260" w:type="dxa"/>
            <w:shd w:val="clear" w:color="auto" w:fill="D9D9D9" w:themeFill="background1" w:themeFillShade="D9"/>
          </w:tcPr>
          <w:p w14:paraId="263AA629" w14:textId="5C5103FC" w:rsidR="4E500920" w:rsidRPr="00984711" w:rsidRDefault="2A9278A2">
            <w:pPr>
              <w:rPr>
                <w:sz w:val="20"/>
              </w:rPr>
            </w:pPr>
            <w:r w:rsidRPr="00984711">
              <w:rPr>
                <w:color w:val="000000" w:themeColor="text1"/>
                <w:sz w:val="20"/>
              </w:rPr>
              <w:t>Off-farm storage, handling and transport of bulk agricultural products</w:t>
            </w:r>
          </w:p>
        </w:tc>
        <w:tc>
          <w:tcPr>
            <w:tcW w:w="997" w:type="dxa"/>
          </w:tcPr>
          <w:p w14:paraId="70688B60" w14:textId="62A0B779" w:rsidR="4E500920" w:rsidRPr="00984711" w:rsidRDefault="2A9278A2" w:rsidP="2A9278A2">
            <w:pPr>
              <w:jc w:val="center"/>
              <w:rPr>
                <w:sz w:val="20"/>
              </w:rPr>
            </w:pPr>
            <w:r w:rsidRPr="00984711">
              <w:rPr>
                <w:sz w:val="20"/>
              </w:rPr>
              <w:t xml:space="preserve"> </w:t>
            </w:r>
          </w:p>
        </w:tc>
        <w:tc>
          <w:tcPr>
            <w:tcW w:w="1139" w:type="dxa"/>
          </w:tcPr>
          <w:p w14:paraId="75F5FBE8" w14:textId="53C67275" w:rsidR="4E500920" w:rsidRPr="00984711" w:rsidRDefault="2A9278A2" w:rsidP="2A9278A2">
            <w:pPr>
              <w:jc w:val="center"/>
              <w:rPr>
                <w:sz w:val="20"/>
              </w:rPr>
            </w:pPr>
            <w:r w:rsidRPr="00984711">
              <w:rPr>
                <w:sz w:val="20"/>
              </w:rPr>
              <w:t>X</w:t>
            </w:r>
          </w:p>
        </w:tc>
        <w:tc>
          <w:tcPr>
            <w:tcW w:w="1897" w:type="dxa"/>
          </w:tcPr>
          <w:p w14:paraId="3797764C" w14:textId="741C90B0" w:rsidR="4E500920" w:rsidRPr="00984711" w:rsidRDefault="2A9278A2" w:rsidP="2A9278A2">
            <w:pPr>
              <w:jc w:val="center"/>
              <w:rPr>
                <w:sz w:val="20"/>
              </w:rPr>
            </w:pPr>
            <w:r w:rsidRPr="00984711">
              <w:rPr>
                <w:sz w:val="20"/>
              </w:rPr>
              <w:t xml:space="preserve"> </w:t>
            </w:r>
          </w:p>
        </w:tc>
      </w:tr>
      <w:tr w:rsidR="4E500920" w:rsidRPr="00984711" w14:paraId="7C4BDE00" w14:textId="77777777" w:rsidTr="00632720">
        <w:tc>
          <w:tcPr>
            <w:tcW w:w="988" w:type="dxa"/>
            <w:shd w:val="clear" w:color="auto" w:fill="D9D9D9" w:themeFill="background1" w:themeFillShade="D9"/>
          </w:tcPr>
          <w:p w14:paraId="1C213124" w14:textId="27F468E7" w:rsidR="4E500920" w:rsidRPr="00984711" w:rsidRDefault="2A9278A2">
            <w:pPr>
              <w:rPr>
                <w:sz w:val="20"/>
              </w:rPr>
            </w:pPr>
            <w:r w:rsidRPr="00984711">
              <w:rPr>
                <w:color w:val="000000" w:themeColor="text1"/>
                <w:sz w:val="20"/>
              </w:rPr>
              <w:t>3De</w:t>
            </w:r>
          </w:p>
        </w:tc>
        <w:tc>
          <w:tcPr>
            <w:tcW w:w="3260" w:type="dxa"/>
            <w:shd w:val="clear" w:color="auto" w:fill="D9D9D9" w:themeFill="background1" w:themeFillShade="D9"/>
          </w:tcPr>
          <w:p w14:paraId="2931FA48" w14:textId="5778D23F" w:rsidR="4E500920" w:rsidRPr="00984711" w:rsidRDefault="2A9278A2">
            <w:pPr>
              <w:rPr>
                <w:sz w:val="20"/>
              </w:rPr>
            </w:pPr>
            <w:r w:rsidRPr="00984711">
              <w:rPr>
                <w:color w:val="000000" w:themeColor="text1"/>
                <w:sz w:val="20"/>
              </w:rPr>
              <w:t>Cultivated crops</w:t>
            </w:r>
          </w:p>
        </w:tc>
        <w:tc>
          <w:tcPr>
            <w:tcW w:w="997" w:type="dxa"/>
          </w:tcPr>
          <w:p w14:paraId="18AB8E74" w14:textId="1AF2196F" w:rsidR="4E500920" w:rsidRPr="00984711" w:rsidRDefault="2A9278A2" w:rsidP="2A9278A2">
            <w:pPr>
              <w:jc w:val="center"/>
              <w:rPr>
                <w:sz w:val="20"/>
              </w:rPr>
            </w:pPr>
            <w:r w:rsidRPr="00984711">
              <w:rPr>
                <w:sz w:val="20"/>
              </w:rPr>
              <w:t>X</w:t>
            </w:r>
          </w:p>
        </w:tc>
        <w:tc>
          <w:tcPr>
            <w:tcW w:w="1139" w:type="dxa"/>
          </w:tcPr>
          <w:p w14:paraId="7A36D345" w14:textId="05FEE629" w:rsidR="4E500920" w:rsidRPr="00984711" w:rsidRDefault="2A9278A2" w:rsidP="2A9278A2">
            <w:pPr>
              <w:jc w:val="center"/>
              <w:rPr>
                <w:sz w:val="20"/>
              </w:rPr>
            </w:pPr>
            <w:r w:rsidRPr="00984711">
              <w:rPr>
                <w:sz w:val="20"/>
              </w:rPr>
              <w:t xml:space="preserve"> </w:t>
            </w:r>
          </w:p>
        </w:tc>
        <w:tc>
          <w:tcPr>
            <w:tcW w:w="1897" w:type="dxa"/>
          </w:tcPr>
          <w:p w14:paraId="45D8A622" w14:textId="56095166" w:rsidR="4E500920" w:rsidRPr="00984711" w:rsidRDefault="2A9278A2" w:rsidP="2A9278A2">
            <w:pPr>
              <w:jc w:val="center"/>
              <w:rPr>
                <w:sz w:val="20"/>
              </w:rPr>
            </w:pPr>
            <w:r w:rsidRPr="00984711">
              <w:rPr>
                <w:sz w:val="20"/>
              </w:rPr>
              <w:t>X</w:t>
            </w:r>
          </w:p>
        </w:tc>
      </w:tr>
      <w:tr w:rsidR="4E500920" w:rsidRPr="00984711" w14:paraId="0BCE567A" w14:textId="77777777" w:rsidTr="00632720">
        <w:tc>
          <w:tcPr>
            <w:tcW w:w="988" w:type="dxa"/>
            <w:shd w:val="clear" w:color="auto" w:fill="D9D9D9" w:themeFill="background1" w:themeFillShade="D9"/>
          </w:tcPr>
          <w:p w14:paraId="46EABBFA" w14:textId="6204C19B" w:rsidR="4E500920" w:rsidRPr="00984711" w:rsidRDefault="2A9278A2">
            <w:pPr>
              <w:rPr>
                <w:sz w:val="20"/>
              </w:rPr>
            </w:pPr>
            <w:r w:rsidRPr="00984711">
              <w:rPr>
                <w:color w:val="000000" w:themeColor="text1"/>
                <w:sz w:val="20"/>
              </w:rPr>
              <w:t>3Df</w:t>
            </w:r>
          </w:p>
        </w:tc>
        <w:tc>
          <w:tcPr>
            <w:tcW w:w="3260" w:type="dxa"/>
            <w:shd w:val="clear" w:color="auto" w:fill="D9D9D9" w:themeFill="background1" w:themeFillShade="D9"/>
          </w:tcPr>
          <w:p w14:paraId="3FBA10C4" w14:textId="7B4B9B50" w:rsidR="4E500920" w:rsidRPr="00984711" w:rsidRDefault="2A9278A2">
            <w:pPr>
              <w:rPr>
                <w:sz w:val="20"/>
              </w:rPr>
            </w:pPr>
            <w:r w:rsidRPr="00984711">
              <w:rPr>
                <w:color w:val="000000" w:themeColor="text1"/>
                <w:sz w:val="20"/>
              </w:rPr>
              <w:t>Use of pesticides</w:t>
            </w:r>
          </w:p>
        </w:tc>
        <w:tc>
          <w:tcPr>
            <w:tcW w:w="997" w:type="dxa"/>
          </w:tcPr>
          <w:p w14:paraId="0256DFF6" w14:textId="7BC50019" w:rsidR="4E500920" w:rsidRPr="00984711" w:rsidRDefault="2A9278A2" w:rsidP="2A9278A2">
            <w:pPr>
              <w:jc w:val="center"/>
              <w:rPr>
                <w:sz w:val="20"/>
              </w:rPr>
            </w:pPr>
            <w:r w:rsidRPr="00984711">
              <w:rPr>
                <w:sz w:val="20"/>
              </w:rPr>
              <w:t xml:space="preserve">X </w:t>
            </w:r>
          </w:p>
        </w:tc>
        <w:tc>
          <w:tcPr>
            <w:tcW w:w="1139" w:type="dxa"/>
          </w:tcPr>
          <w:p w14:paraId="3138F441" w14:textId="01B89944" w:rsidR="4E500920" w:rsidRPr="00984711" w:rsidRDefault="2A9278A2" w:rsidP="2A9278A2">
            <w:pPr>
              <w:jc w:val="center"/>
              <w:rPr>
                <w:sz w:val="20"/>
              </w:rPr>
            </w:pPr>
            <w:r w:rsidRPr="00984711">
              <w:rPr>
                <w:sz w:val="20"/>
              </w:rPr>
              <w:t xml:space="preserve"> </w:t>
            </w:r>
          </w:p>
        </w:tc>
        <w:tc>
          <w:tcPr>
            <w:tcW w:w="1897" w:type="dxa"/>
          </w:tcPr>
          <w:p w14:paraId="4FDC026D" w14:textId="41ABE1C9" w:rsidR="4E500920" w:rsidRPr="00984711" w:rsidRDefault="2A9278A2" w:rsidP="2A9278A2">
            <w:pPr>
              <w:jc w:val="center"/>
              <w:rPr>
                <w:sz w:val="20"/>
              </w:rPr>
            </w:pPr>
            <w:r w:rsidRPr="00984711">
              <w:rPr>
                <w:sz w:val="20"/>
              </w:rPr>
              <w:t xml:space="preserve">X </w:t>
            </w:r>
          </w:p>
        </w:tc>
      </w:tr>
      <w:tr w:rsidR="4E500920" w:rsidRPr="00984711" w14:paraId="115F8C38" w14:textId="77777777" w:rsidTr="00632720">
        <w:tc>
          <w:tcPr>
            <w:tcW w:w="988" w:type="dxa"/>
            <w:shd w:val="clear" w:color="auto" w:fill="D9D9D9" w:themeFill="background1" w:themeFillShade="D9"/>
          </w:tcPr>
          <w:p w14:paraId="5463B626" w14:textId="263971B5" w:rsidR="4E500920" w:rsidRPr="00984711" w:rsidRDefault="2A9278A2">
            <w:pPr>
              <w:rPr>
                <w:sz w:val="20"/>
              </w:rPr>
            </w:pPr>
            <w:r w:rsidRPr="00984711">
              <w:rPr>
                <w:color w:val="000000" w:themeColor="text1"/>
                <w:sz w:val="20"/>
              </w:rPr>
              <w:t>3F</w:t>
            </w:r>
          </w:p>
        </w:tc>
        <w:tc>
          <w:tcPr>
            <w:tcW w:w="3260" w:type="dxa"/>
            <w:shd w:val="clear" w:color="auto" w:fill="D9D9D9" w:themeFill="background1" w:themeFillShade="D9"/>
          </w:tcPr>
          <w:p w14:paraId="5F47E5E7" w14:textId="476DE7BE" w:rsidR="4E500920" w:rsidRPr="00984711" w:rsidRDefault="2A9278A2">
            <w:pPr>
              <w:rPr>
                <w:sz w:val="20"/>
              </w:rPr>
            </w:pPr>
            <w:r w:rsidRPr="00984711">
              <w:rPr>
                <w:color w:val="000000" w:themeColor="text1"/>
                <w:sz w:val="20"/>
              </w:rPr>
              <w:t>Field burning of agricultural residues</w:t>
            </w:r>
          </w:p>
        </w:tc>
        <w:tc>
          <w:tcPr>
            <w:tcW w:w="997" w:type="dxa"/>
          </w:tcPr>
          <w:p w14:paraId="45AEE34E" w14:textId="6F1DDADB" w:rsidR="4E500920" w:rsidRPr="00984711" w:rsidRDefault="2A9278A2" w:rsidP="2A9278A2">
            <w:pPr>
              <w:jc w:val="center"/>
              <w:rPr>
                <w:sz w:val="20"/>
              </w:rPr>
            </w:pPr>
            <w:r w:rsidRPr="00984711">
              <w:rPr>
                <w:sz w:val="20"/>
              </w:rPr>
              <w:t xml:space="preserve"> </w:t>
            </w:r>
          </w:p>
        </w:tc>
        <w:tc>
          <w:tcPr>
            <w:tcW w:w="1139" w:type="dxa"/>
          </w:tcPr>
          <w:p w14:paraId="1CA491E1" w14:textId="77CD2E22" w:rsidR="4E500920" w:rsidRPr="00984711" w:rsidRDefault="2A9278A2" w:rsidP="2A9278A2">
            <w:pPr>
              <w:jc w:val="center"/>
              <w:rPr>
                <w:sz w:val="20"/>
              </w:rPr>
            </w:pPr>
            <w:r w:rsidRPr="00984711">
              <w:rPr>
                <w:sz w:val="20"/>
              </w:rPr>
              <w:t xml:space="preserve"> </w:t>
            </w:r>
          </w:p>
        </w:tc>
        <w:tc>
          <w:tcPr>
            <w:tcW w:w="1897" w:type="dxa"/>
          </w:tcPr>
          <w:p w14:paraId="1B236C02" w14:textId="30A07551" w:rsidR="4E500920" w:rsidRPr="00984711" w:rsidRDefault="2A9278A2" w:rsidP="2A9278A2">
            <w:pPr>
              <w:jc w:val="center"/>
              <w:rPr>
                <w:sz w:val="20"/>
              </w:rPr>
            </w:pPr>
            <w:r w:rsidRPr="00984711">
              <w:rPr>
                <w:sz w:val="20"/>
              </w:rPr>
              <w:t xml:space="preserve">X </w:t>
            </w:r>
          </w:p>
        </w:tc>
      </w:tr>
      <w:tr w:rsidR="4E500920" w:rsidRPr="00984711" w14:paraId="27F6CEFC" w14:textId="77777777" w:rsidTr="00632720">
        <w:tc>
          <w:tcPr>
            <w:tcW w:w="988" w:type="dxa"/>
            <w:shd w:val="clear" w:color="auto" w:fill="D9D9D9" w:themeFill="background1" w:themeFillShade="D9"/>
          </w:tcPr>
          <w:p w14:paraId="7A697E56" w14:textId="2F03E4A3" w:rsidR="4E500920" w:rsidRPr="00984711" w:rsidRDefault="2A9278A2">
            <w:pPr>
              <w:rPr>
                <w:sz w:val="20"/>
              </w:rPr>
            </w:pPr>
            <w:r w:rsidRPr="00984711">
              <w:rPr>
                <w:color w:val="000000" w:themeColor="text1"/>
                <w:sz w:val="20"/>
              </w:rPr>
              <w:t>3I</w:t>
            </w:r>
          </w:p>
        </w:tc>
        <w:tc>
          <w:tcPr>
            <w:tcW w:w="3260" w:type="dxa"/>
            <w:shd w:val="clear" w:color="auto" w:fill="D9D9D9" w:themeFill="background1" w:themeFillShade="D9"/>
          </w:tcPr>
          <w:p w14:paraId="4259B223" w14:textId="6C578FF5" w:rsidR="4E500920" w:rsidRPr="00984711" w:rsidRDefault="2A9278A2">
            <w:pPr>
              <w:rPr>
                <w:sz w:val="20"/>
              </w:rPr>
            </w:pPr>
            <w:r w:rsidRPr="00984711">
              <w:rPr>
                <w:color w:val="000000" w:themeColor="text1"/>
                <w:sz w:val="20"/>
              </w:rPr>
              <w:t>Agriculture other</w:t>
            </w:r>
          </w:p>
        </w:tc>
        <w:tc>
          <w:tcPr>
            <w:tcW w:w="997" w:type="dxa"/>
          </w:tcPr>
          <w:p w14:paraId="7618F677" w14:textId="0F56E500" w:rsidR="4E500920" w:rsidRPr="00984711" w:rsidRDefault="2A9278A2" w:rsidP="2A9278A2">
            <w:pPr>
              <w:jc w:val="center"/>
              <w:rPr>
                <w:sz w:val="20"/>
              </w:rPr>
            </w:pPr>
            <w:r w:rsidRPr="00984711">
              <w:rPr>
                <w:sz w:val="20"/>
              </w:rPr>
              <w:t xml:space="preserve"> </w:t>
            </w:r>
          </w:p>
        </w:tc>
        <w:tc>
          <w:tcPr>
            <w:tcW w:w="1139" w:type="dxa"/>
          </w:tcPr>
          <w:p w14:paraId="3D1BF333" w14:textId="55B00DEC" w:rsidR="4E500920" w:rsidRPr="00984711" w:rsidRDefault="2A9278A2" w:rsidP="2A9278A2">
            <w:pPr>
              <w:jc w:val="center"/>
              <w:rPr>
                <w:sz w:val="20"/>
              </w:rPr>
            </w:pPr>
            <w:r w:rsidRPr="00984711">
              <w:rPr>
                <w:sz w:val="20"/>
              </w:rPr>
              <w:t>X</w:t>
            </w:r>
          </w:p>
        </w:tc>
        <w:tc>
          <w:tcPr>
            <w:tcW w:w="1897" w:type="dxa"/>
          </w:tcPr>
          <w:p w14:paraId="1D76CBBA" w14:textId="1D5824D7" w:rsidR="4E500920" w:rsidRPr="00984711" w:rsidRDefault="2A9278A2" w:rsidP="2A9278A2">
            <w:pPr>
              <w:jc w:val="center"/>
              <w:rPr>
                <w:sz w:val="20"/>
              </w:rPr>
            </w:pPr>
            <w:r w:rsidRPr="00984711">
              <w:rPr>
                <w:sz w:val="20"/>
              </w:rPr>
              <w:t xml:space="preserve"> </w:t>
            </w:r>
          </w:p>
        </w:tc>
      </w:tr>
      <w:tr w:rsidR="4E500920" w:rsidRPr="00984711" w14:paraId="6AF6A92F" w14:textId="77777777" w:rsidTr="00632720">
        <w:tc>
          <w:tcPr>
            <w:tcW w:w="988" w:type="dxa"/>
            <w:shd w:val="clear" w:color="auto" w:fill="D9D9D9" w:themeFill="background1" w:themeFillShade="D9"/>
          </w:tcPr>
          <w:p w14:paraId="44D83621" w14:textId="1D241011" w:rsidR="4E500920" w:rsidRPr="00984711" w:rsidRDefault="2A9278A2">
            <w:pPr>
              <w:rPr>
                <w:sz w:val="20"/>
              </w:rPr>
            </w:pPr>
            <w:r w:rsidRPr="00984711">
              <w:rPr>
                <w:color w:val="000000" w:themeColor="text1"/>
                <w:sz w:val="20"/>
              </w:rPr>
              <w:t>11A</w:t>
            </w:r>
          </w:p>
        </w:tc>
        <w:tc>
          <w:tcPr>
            <w:tcW w:w="3260" w:type="dxa"/>
            <w:shd w:val="clear" w:color="auto" w:fill="D9D9D9" w:themeFill="background1" w:themeFillShade="D9"/>
          </w:tcPr>
          <w:p w14:paraId="57EB4209" w14:textId="3C7FE920" w:rsidR="4E500920" w:rsidRPr="00984711" w:rsidRDefault="2A9278A2">
            <w:pPr>
              <w:rPr>
                <w:sz w:val="20"/>
              </w:rPr>
            </w:pPr>
            <w:r w:rsidRPr="00984711">
              <w:rPr>
                <w:color w:val="000000" w:themeColor="text1"/>
                <w:sz w:val="20"/>
              </w:rPr>
              <w:t>Volcanoes</w:t>
            </w:r>
          </w:p>
        </w:tc>
        <w:tc>
          <w:tcPr>
            <w:tcW w:w="997" w:type="dxa"/>
          </w:tcPr>
          <w:p w14:paraId="30EC4BE3" w14:textId="224E6633" w:rsidR="4E500920" w:rsidRPr="00984711" w:rsidRDefault="2A9278A2" w:rsidP="2A9278A2">
            <w:pPr>
              <w:jc w:val="center"/>
              <w:rPr>
                <w:sz w:val="20"/>
              </w:rPr>
            </w:pPr>
            <w:r w:rsidRPr="00984711">
              <w:rPr>
                <w:sz w:val="20"/>
              </w:rPr>
              <w:t xml:space="preserve"> </w:t>
            </w:r>
          </w:p>
        </w:tc>
        <w:tc>
          <w:tcPr>
            <w:tcW w:w="1139" w:type="dxa"/>
          </w:tcPr>
          <w:p w14:paraId="711F029C" w14:textId="06AB1F96" w:rsidR="4E500920" w:rsidRPr="00984711" w:rsidRDefault="2A9278A2" w:rsidP="2A9278A2">
            <w:pPr>
              <w:jc w:val="center"/>
              <w:rPr>
                <w:sz w:val="20"/>
              </w:rPr>
            </w:pPr>
            <w:r w:rsidRPr="00984711">
              <w:rPr>
                <w:sz w:val="20"/>
              </w:rPr>
              <w:t>X</w:t>
            </w:r>
          </w:p>
        </w:tc>
        <w:tc>
          <w:tcPr>
            <w:tcW w:w="1897" w:type="dxa"/>
          </w:tcPr>
          <w:p w14:paraId="0130D46A" w14:textId="6704C300" w:rsidR="4E500920" w:rsidRPr="00984711" w:rsidRDefault="2A9278A2" w:rsidP="2A9278A2">
            <w:pPr>
              <w:jc w:val="center"/>
              <w:rPr>
                <w:sz w:val="20"/>
              </w:rPr>
            </w:pPr>
            <w:r w:rsidRPr="00984711">
              <w:rPr>
                <w:sz w:val="20"/>
              </w:rPr>
              <w:t xml:space="preserve"> </w:t>
            </w:r>
          </w:p>
        </w:tc>
      </w:tr>
      <w:tr w:rsidR="4E500920" w:rsidRPr="00984711" w14:paraId="2CE4BAB0" w14:textId="77777777" w:rsidTr="00632720">
        <w:tc>
          <w:tcPr>
            <w:tcW w:w="988" w:type="dxa"/>
            <w:shd w:val="clear" w:color="auto" w:fill="D9D9D9" w:themeFill="background1" w:themeFillShade="D9"/>
          </w:tcPr>
          <w:p w14:paraId="1BC33F91" w14:textId="5C9C16C7" w:rsidR="4E500920" w:rsidRPr="00984711" w:rsidRDefault="2A9278A2">
            <w:pPr>
              <w:rPr>
                <w:sz w:val="20"/>
              </w:rPr>
            </w:pPr>
            <w:r w:rsidRPr="00984711">
              <w:rPr>
                <w:color w:val="000000" w:themeColor="text1"/>
                <w:sz w:val="20"/>
              </w:rPr>
              <w:t>11B</w:t>
            </w:r>
          </w:p>
        </w:tc>
        <w:tc>
          <w:tcPr>
            <w:tcW w:w="3260" w:type="dxa"/>
            <w:shd w:val="clear" w:color="auto" w:fill="D9D9D9" w:themeFill="background1" w:themeFillShade="D9"/>
          </w:tcPr>
          <w:p w14:paraId="7CC506E0" w14:textId="3B49184F" w:rsidR="4E500920" w:rsidRPr="00984711" w:rsidRDefault="2A9278A2">
            <w:pPr>
              <w:rPr>
                <w:sz w:val="20"/>
              </w:rPr>
            </w:pPr>
            <w:r w:rsidRPr="00984711">
              <w:rPr>
                <w:color w:val="000000" w:themeColor="text1"/>
                <w:sz w:val="20"/>
              </w:rPr>
              <w:t>Forest fires</w:t>
            </w:r>
          </w:p>
        </w:tc>
        <w:tc>
          <w:tcPr>
            <w:tcW w:w="997" w:type="dxa"/>
          </w:tcPr>
          <w:p w14:paraId="320974B6" w14:textId="248AFBC6" w:rsidR="4E500920" w:rsidRPr="00984711" w:rsidRDefault="2A9278A2" w:rsidP="2A9278A2">
            <w:pPr>
              <w:jc w:val="center"/>
              <w:rPr>
                <w:sz w:val="20"/>
              </w:rPr>
            </w:pPr>
            <w:r w:rsidRPr="00984711">
              <w:rPr>
                <w:sz w:val="20"/>
              </w:rPr>
              <w:t xml:space="preserve"> </w:t>
            </w:r>
          </w:p>
        </w:tc>
        <w:tc>
          <w:tcPr>
            <w:tcW w:w="1139" w:type="dxa"/>
          </w:tcPr>
          <w:p w14:paraId="4AF8E8DF" w14:textId="1BD410C3" w:rsidR="4E500920" w:rsidRPr="00984711" w:rsidRDefault="2A9278A2" w:rsidP="2A9278A2">
            <w:pPr>
              <w:jc w:val="center"/>
              <w:rPr>
                <w:sz w:val="20"/>
              </w:rPr>
            </w:pPr>
            <w:r w:rsidRPr="00984711">
              <w:rPr>
                <w:sz w:val="20"/>
              </w:rPr>
              <w:t>X</w:t>
            </w:r>
          </w:p>
        </w:tc>
        <w:tc>
          <w:tcPr>
            <w:tcW w:w="1897" w:type="dxa"/>
          </w:tcPr>
          <w:p w14:paraId="5C573E43" w14:textId="7AF4243C" w:rsidR="4E500920" w:rsidRPr="00984711" w:rsidRDefault="2A9278A2" w:rsidP="2A9278A2">
            <w:pPr>
              <w:jc w:val="center"/>
              <w:rPr>
                <w:sz w:val="20"/>
              </w:rPr>
            </w:pPr>
            <w:r w:rsidRPr="00984711">
              <w:rPr>
                <w:sz w:val="20"/>
              </w:rPr>
              <w:t xml:space="preserve"> </w:t>
            </w:r>
          </w:p>
        </w:tc>
      </w:tr>
      <w:tr w:rsidR="00E216B2" w:rsidRPr="00984711" w14:paraId="0970C4C7" w14:textId="77777777" w:rsidTr="00632720">
        <w:tc>
          <w:tcPr>
            <w:tcW w:w="8281" w:type="dxa"/>
            <w:gridSpan w:val="5"/>
            <w:shd w:val="clear" w:color="auto" w:fill="D9D9D9" w:themeFill="background1" w:themeFillShade="D9"/>
          </w:tcPr>
          <w:p w14:paraId="0A0B1884" w14:textId="0CAEC1B7" w:rsidR="00E216B2" w:rsidRPr="00984711" w:rsidRDefault="00E216B2" w:rsidP="2A9278A2">
            <w:pPr>
              <w:rPr>
                <w:sz w:val="20"/>
              </w:rPr>
            </w:pPr>
            <w:r w:rsidRPr="00984711">
              <w:rPr>
                <w:color w:val="000000" w:themeColor="text1"/>
                <w:sz w:val="20"/>
              </w:rPr>
              <w:t>Note: Where a sector has been partially reviewed (e.g. some of the NFR codes please indicate which have and which have not in the respective columns.</w:t>
            </w:r>
          </w:p>
        </w:tc>
      </w:tr>
    </w:tbl>
    <w:p w14:paraId="6AB42971" w14:textId="327D326C" w:rsidR="4E500920" w:rsidRDefault="2A9278A2" w:rsidP="4E500920">
      <w:pPr>
        <w:pStyle w:val="berschrift4"/>
      </w:pPr>
      <w:r>
        <w:t>General recommendations on cross cutting issues</w:t>
      </w:r>
    </w:p>
    <w:p w14:paraId="544AA10F" w14:textId="6C08FFB8" w:rsidR="4E500920" w:rsidRPr="00984711" w:rsidRDefault="2A9278A2" w:rsidP="007F5740">
      <w:pPr>
        <w:pStyle w:val="RegPara"/>
      </w:pPr>
      <w:r>
        <w:t xml:space="preserve">The </w:t>
      </w:r>
      <w:bookmarkStart w:id="46" w:name="_Hlk77149590"/>
      <w:r>
        <w:t>Agricultural emissions reported by Montenegro have all been calculated using Tier 1 methods from the EMEP Guidebook 2019</w:t>
      </w:r>
      <w:bookmarkEnd w:id="46"/>
      <w:r>
        <w:t xml:space="preserve">. The IIR provided by Montenegro initially lacked information on sector 3D, which was later provided. The activity data is not consisted throughout the time series due to changes in the statistical methodology. </w:t>
      </w:r>
    </w:p>
    <w:p w14:paraId="04278B3B" w14:textId="7D448D56" w:rsidR="4E500920" w:rsidRPr="00984711" w:rsidRDefault="2A9278A2" w:rsidP="007F5740">
      <w:pPr>
        <w:pStyle w:val="RegPara"/>
      </w:pPr>
      <w:r>
        <w:lastRenderedPageBreak/>
        <w:t>Montenegro indicated it plans to build a nitrogen budget model to calculate its nitrogen emissions using a Tier 3 method. Montenegro indicated it will ensure the differences between the activity data sets will be amended in line with the EMEP Guidelines 2019 to prevent time series inconsistencies. The ERT recommends Montenegro to implement its planned improvements as soon as possible.</w:t>
      </w:r>
    </w:p>
    <w:p w14:paraId="1BF78779" w14:textId="35D9EDC4" w:rsidR="4E500920" w:rsidRDefault="2A9278A2" w:rsidP="00632720">
      <w:pPr>
        <w:pStyle w:val="berschrift5"/>
      </w:pPr>
      <w:r>
        <w:t>Transparency</w:t>
      </w:r>
    </w:p>
    <w:p w14:paraId="74655B0F" w14:textId="19D3F9A3" w:rsidR="4E500920" w:rsidRPr="00984711" w:rsidRDefault="2A9278A2" w:rsidP="007F5740">
      <w:pPr>
        <w:pStyle w:val="RegPara"/>
      </w:pPr>
      <w:r>
        <w:t>Montenegro has provided a detailed and generally transparent emissions inventory</w:t>
      </w:r>
      <w:r w:rsidR="00440033">
        <w:t xml:space="preserve"> for the agriculture sector</w:t>
      </w:r>
      <w:r>
        <w:t xml:space="preserve">. Estimates are provided at the most detailed level. Montenegro’s methodology and emission factors in the IIR are considered by the ERT to be transparent and well described for the </w:t>
      </w:r>
      <w:r w:rsidR="00440033">
        <w:t>a</w:t>
      </w:r>
      <w:r>
        <w:t xml:space="preserve">griculture </w:t>
      </w:r>
      <w:r w:rsidR="00440033">
        <w:t>s</w:t>
      </w:r>
      <w:r>
        <w:t xml:space="preserve">ector. The ERT </w:t>
      </w:r>
      <w:r w:rsidR="00440033">
        <w:t>recommends</w:t>
      </w:r>
      <w:r>
        <w:t xml:space="preserve"> Montenegro to include more detail in the IIR </w:t>
      </w:r>
      <w:r w:rsidR="00440033">
        <w:t>including</w:t>
      </w:r>
      <w:r>
        <w:t xml:space="preserve"> the description of the trends,</w:t>
      </w:r>
      <w:r w:rsidR="00440033">
        <w:t xml:space="preserve"> in particular</w:t>
      </w:r>
      <w:r>
        <w:t xml:space="preserve"> dips and jumps in the </w:t>
      </w:r>
      <w:r w:rsidR="00632720">
        <w:t>time series</w:t>
      </w:r>
      <w:r w:rsidR="00440033">
        <w:t>, and</w:t>
      </w:r>
      <w:r>
        <w:t xml:space="preserve"> explanation of any calculation errors or </w:t>
      </w:r>
      <w:r w:rsidR="00632720">
        <w:t>time series</w:t>
      </w:r>
      <w:r>
        <w:t xml:space="preserve"> inconsistencies.</w:t>
      </w:r>
    </w:p>
    <w:p w14:paraId="796C4A8E" w14:textId="4B6C2A68" w:rsidR="4E500920" w:rsidRDefault="2A9278A2" w:rsidP="00632720">
      <w:pPr>
        <w:pStyle w:val="berschrift5"/>
      </w:pPr>
      <w:r>
        <w:t>Completeness</w:t>
      </w:r>
    </w:p>
    <w:p w14:paraId="4D76DC13" w14:textId="5398C5BF" w:rsidR="4E500920" w:rsidRPr="00984711" w:rsidRDefault="2A9278A2" w:rsidP="007F5740">
      <w:pPr>
        <w:pStyle w:val="RegPara"/>
      </w:pPr>
      <w:r w:rsidRPr="00984711">
        <w:t xml:space="preserve">The ERT considers the </w:t>
      </w:r>
      <w:r w:rsidR="00440033">
        <w:t>a</w:t>
      </w:r>
      <w:r w:rsidRPr="00984711">
        <w:t xml:space="preserve">griculture sector to be </w:t>
      </w:r>
      <w:r w:rsidR="00440033">
        <w:t xml:space="preserve">close to </w:t>
      </w:r>
      <w:r w:rsidRPr="00984711">
        <w:t xml:space="preserve">complete and comprehensive with good levels of detail in the methodology descriptions. </w:t>
      </w:r>
      <w:r w:rsidR="00440033">
        <w:t>Emissions of s</w:t>
      </w:r>
      <w:r w:rsidRPr="00984711">
        <w:t xml:space="preserve">ome minor sources </w:t>
      </w:r>
      <w:r w:rsidR="00440033">
        <w:t>are</w:t>
      </w:r>
      <w:r w:rsidRPr="00984711">
        <w:t xml:space="preserve"> missing from the inventory, namely: Field burning of agricultural residues, use of pesticides (HCB) and sewage sludge applied to soils (NH</w:t>
      </w:r>
      <w:r w:rsidRPr="00817634">
        <w:rPr>
          <w:vertAlign w:val="subscript"/>
        </w:rPr>
        <w:t>3</w:t>
      </w:r>
      <w:r w:rsidRPr="00984711">
        <w:t>).</w:t>
      </w:r>
    </w:p>
    <w:p w14:paraId="5DD89A2F" w14:textId="30A2BE6D" w:rsidR="4E500920" w:rsidRDefault="2A9278A2" w:rsidP="00632720">
      <w:pPr>
        <w:pStyle w:val="berschrift5"/>
      </w:pPr>
      <w:r>
        <w:t>Consistency including recalculation and time series</w:t>
      </w:r>
    </w:p>
    <w:p w14:paraId="4E962F64" w14:textId="3A80BC56" w:rsidR="4E500920" w:rsidRPr="00984711" w:rsidRDefault="2A9278A2" w:rsidP="007F5740">
      <w:pPr>
        <w:pStyle w:val="RegPara"/>
      </w:pPr>
      <w:r w:rsidRPr="00984711">
        <w:t xml:space="preserve">The ERT notices that the time series are not consistent. Montenegro has explained that the method to collect activity data has changed over the years. Montenegro has indicated that it will amend these issues in the next submission. The ERT could not find </w:t>
      </w:r>
      <w:r w:rsidR="00440033">
        <w:t xml:space="preserve">alternative </w:t>
      </w:r>
      <w:r w:rsidRPr="00984711">
        <w:t xml:space="preserve">activity data at other sources (FAO and World </w:t>
      </w:r>
      <w:r w:rsidR="00632720" w:rsidRPr="00984711">
        <w:t>Bank</w:t>
      </w:r>
      <w:r w:rsidRPr="00984711">
        <w:t xml:space="preserve">) that would improve the time series consistency. The ERT </w:t>
      </w:r>
      <w:r w:rsidR="00440033">
        <w:t>recommends</w:t>
      </w:r>
      <w:r w:rsidRPr="00984711">
        <w:t xml:space="preserve"> Montenegro to improve the consistency of its time series in the next submission.</w:t>
      </w:r>
    </w:p>
    <w:p w14:paraId="2EDEBB4D" w14:textId="6709ABF8" w:rsidR="4E500920" w:rsidRDefault="2A9278A2" w:rsidP="00632720">
      <w:pPr>
        <w:pStyle w:val="berschrift5"/>
      </w:pPr>
      <w:r>
        <w:t>Comparability</w:t>
      </w:r>
    </w:p>
    <w:p w14:paraId="47C80B9D" w14:textId="0C81CD2A" w:rsidR="4E500920" w:rsidRPr="00984711" w:rsidRDefault="2A9278A2" w:rsidP="007F5740">
      <w:pPr>
        <w:pStyle w:val="RegPara"/>
      </w:pPr>
      <w:r>
        <w:t>All methods applied by Montenegro are consistent with the Tier 1 methods provided by the EMEP</w:t>
      </w:r>
      <w:r w:rsidR="00657C77">
        <w:t>/EEA</w:t>
      </w:r>
      <w:r>
        <w:t xml:space="preserve"> </w:t>
      </w:r>
      <w:r w:rsidR="00657C77">
        <w:t>G</w:t>
      </w:r>
      <w:r>
        <w:t>uidebook 2019. Montenegro has indicated that it will move to a Tier 3 method for NH</w:t>
      </w:r>
      <w:r w:rsidRPr="00657C77">
        <w:rPr>
          <w:vertAlign w:val="subscript"/>
        </w:rPr>
        <w:t>3</w:t>
      </w:r>
      <w:r>
        <w:t xml:space="preserve"> and NO</w:t>
      </w:r>
      <w:r w:rsidRPr="00984711">
        <w:t>x</w:t>
      </w:r>
      <w:r>
        <w:t xml:space="preserve"> emissions in 2022 or 2023. Montenegro has collected sufficient activity data to calculate its emissions. </w:t>
      </w:r>
      <w:r w:rsidR="00657C77">
        <w:t>Since all alternative</w:t>
      </w:r>
      <w:r>
        <w:t xml:space="preserve"> databases </w:t>
      </w:r>
      <w:r w:rsidR="00657C77">
        <w:t>contain</w:t>
      </w:r>
      <w:r>
        <w:t xml:space="preserve"> the same </w:t>
      </w:r>
      <w:r w:rsidR="00657C77">
        <w:t xml:space="preserve">Tier 1 </w:t>
      </w:r>
      <w:r>
        <w:t xml:space="preserve">activity data it was not possible to assess whether any over or underestimates have been made. The ERT </w:t>
      </w:r>
      <w:r w:rsidR="00657C77">
        <w:t>recommends</w:t>
      </w:r>
      <w:r>
        <w:t xml:space="preserve"> Montenegro to implement a Tier </w:t>
      </w:r>
      <w:r w:rsidR="00657C77">
        <w:t xml:space="preserve">2 or </w:t>
      </w:r>
      <w:r>
        <w:t>3 method to calculate its nitrogen emissions</w:t>
      </w:r>
      <w:r w:rsidR="00657C77">
        <w:t xml:space="preserve"> from all key categories</w:t>
      </w:r>
      <w:r>
        <w:t>.</w:t>
      </w:r>
    </w:p>
    <w:p w14:paraId="047B319A" w14:textId="5FB99E9A" w:rsidR="4E500920" w:rsidRDefault="2A9278A2" w:rsidP="00632720">
      <w:pPr>
        <w:pStyle w:val="berschrift5"/>
      </w:pPr>
      <w:r>
        <w:t>Accuracy and uncertainties</w:t>
      </w:r>
    </w:p>
    <w:p w14:paraId="0A524CA0" w14:textId="7F58DC08" w:rsidR="4E500920" w:rsidRPr="00984711" w:rsidRDefault="00657C77" w:rsidP="007F5740">
      <w:pPr>
        <w:pStyle w:val="RegPara"/>
      </w:pPr>
      <w:r>
        <w:t>An</w:t>
      </w:r>
      <w:r w:rsidR="2A9278A2" w:rsidRPr="00984711">
        <w:t xml:space="preserve"> uncertaint</w:t>
      </w:r>
      <w:r>
        <w:t>y assessment has not been undertaken</w:t>
      </w:r>
      <w:r w:rsidR="2A9278A2" w:rsidRPr="00984711">
        <w:t xml:space="preserve"> </w:t>
      </w:r>
      <w:r>
        <w:t>and is not</w:t>
      </w:r>
      <w:r w:rsidR="2A9278A2" w:rsidRPr="00984711">
        <w:t xml:space="preserve"> mentioned in the planned improvements. </w:t>
      </w:r>
      <w:r w:rsidRPr="00984711">
        <w:t xml:space="preserve">Montenegro </w:t>
      </w:r>
      <w:r>
        <w:t>displayed the</w:t>
      </w:r>
      <w:r w:rsidRPr="00984711">
        <w:t xml:space="preserve"> </w:t>
      </w:r>
      <w:r>
        <w:t xml:space="preserve">general </w:t>
      </w:r>
      <w:r w:rsidRPr="00984711">
        <w:t>uncertain</w:t>
      </w:r>
      <w:r>
        <w:t>ty estimates from the EMEP/EEA guidebook in the IIR</w:t>
      </w:r>
      <w:r w:rsidRPr="00984711">
        <w:t xml:space="preserve">. </w:t>
      </w:r>
      <w:r w:rsidR="2A9278A2" w:rsidRPr="00984711">
        <w:t xml:space="preserve">Montenegro uses multiple steps in its QA/QC procedure that are consistent with good practice. The activity data is compared to national and international statistics. The time series consistency is assessed to ensure all dips and jumps are explainable. The ERT recommends Montenegro to </w:t>
      </w:r>
      <w:r w:rsidR="2A9278A2" w:rsidRPr="00984711">
        <w:lastRenderedPageBreak/>
        <w:t>include the check on time series consistency in the IIR to allow reviewers to assess the information.</w:t>
      </w:r>
    </w:p>
    <w:p w14:paraId="32B1A4B6" w14:textId="623FBB27" w:rsidR="4E500920" w:rsidRDefault="2A9278A2" w:rsidP="00632720">
      <w:pPr>
        <w:pStyle w:val="berschrift5"/>
      </w:pPr>
      <w:r>
        <w:t>Improvement</w:t>
      </w:r>
    </w:p>
    <w:p w14:paraId="7E41BFDA" w14:textId="136A13EE" w:rsidR="4E500920" w:rsidRPr="00657C77" w:rsidRDefault="2A9278A2" w:rsidP="007F5740">
      <w:pPr>
        <w:pStyle w:val="RegPara"/>
      </w:pPr>
      <w:r>
        <w:t xml:space="preserve">Montenegro has provided a list </w:t>
      </w:r>
      <w:r w:rsidR="00657C77">
        <w:t>of</w:t>
      </w:r>
      <w:r>
        <w:t xml:space="preserve"> planned improvements in the IIR. Besides these planned improvements the ERT recommends Montenegro to: review its statistical data on activity data to improve the times series consistency, to include more information on the time series</w:t>
      </w:r>
      <w:r w:rsidR="00657C77">
        <w:t xml:space="preserve"> in the IIR</w:t>
      </w:r>
      <w:r>
        <w:t xml:space="preserve">, to </w:t>
      </w:r>
      <w:r w:rsidR="00657C77">
        <w:t>calculate</w:t>
      </w:r>
      <w:r>
        <w:t xml:space="preserve"> emissions from</w:t>
      </w:r>
      <w:r w:rsidRPr="00984711">
        <w:t xml:space="preserve"> Field burning of agricultural residues, use of pesticides (HCB) and sewage sludge applied to soils (NH3), to implement a Tier 3 method to calculate its nitrogen emissions</w:t>
      </w:r>
      <w:r w:rsidR="00657C77">
        <w:t xml:space="preserve"> for all key categories</w:t>
      </w:r>
      <w:r w:rsidRPr="00984711">
        <w:t>.</w:t>
      </w:r>
    </w:p>
    <w:p w14:paraId="4C3CA690" w14:textId="5274C11B" w:rsidR="4E500920" w:rsidRDefault="2A9278A2" w:rsidP="4E500920">
      <w:pPr>
        <w:pStyle w:val="berschrift4"/>
      </w:pPr>
      <w:r>
        <w:t>Sub-Sector Specific Recommendations</w:t>
      </w:r>
    </w:p>
    <w:p w14:paraId="7D46D41D" w14:textId="2B540151" w:rsidR="4E500920" w:rsidRDefault="2A9278A2" w:rsidP="00632720">
      <w:pPr>
        <w:pStyle w:val="berschrift5"/>
      </w:pPr>
      <w:r w:rsidRPr="00632720">
        <w:t>Category</w:t>
      </w:r>
      <w:r>
        <w:t xml:space="preserve"> issue 1:</w:t>
      </w:r>
      <w:r w:rsidRPr="2A9278A2">
        <w:t xml:space="preserve"> QA/QC</w:t>
      </w:r>
    </w:p>
    <w:p w14:paraId="6F76B92E" w14:textId="645E6B65" w:rsidR="00D07B7A" w:rsidRDefault="2A9278A2" w:rsidP="007F5740">
      <w:pPr>
        <w:pStyle w:val="RegPara"/>
      </w:pPr>
      <w:r w:rsidRPr="2A9278A2">
        <w:t xml:space="preserve">The ERT noted that Table 5.2 </w:t>
      </w:r>
      <w:r w:rsidR="00D07B7A">
        <w:t xml:space="preserve">in the IIR, </w:t>
      </w:r>
      <w:r w:rsidRPr="2A9278A2">
        <w:t>presenting the application of the different manure management systems</w:t>
      </w:r>
      <w:r w:rsidR="00D07B7A">
        <w:t>,</w:t>
      </w:r>
      <w:r w:rsidRPr="2A9278A2">
        <w:t xml:space="preserve"> was incorrect. Montenegro responded by providing a new table with the correct percentages. The ERT recommends Montenegro to improve its QA/QC protocol to prevent such mistakes in the future.</w:t>
      </w:r>
    </w:p>
    <w:p w14:paraId="5141D4A6" w14:textId="75AF0CBD" w:rsidR="2A9278A2" w:rsidRDefault="2A9278A2" w:rsidP="00632720">
      <w:pPr>
        <w:pStyle w:val="berschrift5"/>
      </w:pPr>
      <w:r w:rsidRPr="2A9278A2">
        <w:t>Category issue 2: Transparency</w:t>
      </w:r>
    </w:p>
    <w:p w14:paraId="3BAFCF51" w14:textId="4ED045A3" w:rsidR="4E500920" w:rsidRPr="00984711" w:rsidRDefault="2A9278A2" w:rsidP="007F5740">
      <w:pPr>
        <w:pStyle w:val="RegPara"/>
      </w:pPr>
      <w:r w:rsidRPr="2A9278A2">
        <w:t xml:space="preserve">The ERT noted that no explanation was provided for any trends, dips or jumps in the activity data or emissions. Montenegro responded by providing information on the different agricultural statistical methods that have been used over the years. The results of the different statistical methods differ </w:t>
      </w:r>
      <w:r w:rsidR="00D07B7A">
        <w:t>significantly,</w:t>
      </w:r>
      <w:r w:rsidRPr="2A9278A2">
        <w:t xml:space="preserve"> making it difficult to apply a harmonisation and prevent time series inconsistency. The ERT recommends Montenegro to</w:t>
      </w:r>
      <w:r w:rsidR="00D07B7A">
        <w:t xml:space="preserve"> </w:t>
      </w:r>
      <w:r w:rsidRPr="2A9278A2">
        <w:t>provide the information on the different statistic</w:t>
      </w:r>
      <w:r w:rsidR="00D07B7A">
        <w:t>al methods</w:t>
      </w:r>
      <w:r w:rsidRPr="2A9278A2">
        <w:t xml:space="preserve"> as well as any developments that have had an actual impact on activity data or emissions in the next submission, but also to reassess using the </w:t>
      </w:r>
      <w:r w:rsidR="00D07B7A">
        <w:t>EMEP/EEA Guidebook</w:t>
      </w:r>
      <w:r w:rsidRPr="2A9278A2">
        <w:t xml:space="preserve"> whether it is possible to implement a correction to create a more consistent time series. </w:t>
      </w:r>
    </w:p>
    <w:p w14:paraId="3DEDB388" w14:textId="6CC28C74" w:rsidR="4E500920" w:rsidRDefault="2A9278A2" w:rsidP="00632720">
      <w:pPr>
        <w:pStyle w:val="berschrift5"/>
      </w:pPr>
      <w:r w:rsidRPr="2A9278A2">
        <w:t>Category issue 3: 3.D.f Use of pesticides – HCB</w:t>
      </w:r>
    </w:p>
    <w:p w14:paraId="4C02DB32" w14:textId="11BE577A" w:rsidR="4E500920" w:rsidRPr="00984711" w:rsidRDefault="2A9278A2" w:rsidP="007F5740">
      <w:pPr>
        <w:pStyle w:val="RegPara"/>
      </w:pPr>
      <w:r>
        <w:t>The ERT notes that Montenegro has not estimated the emission of Hexachlorobenzene (HCB) from the use of pesticides. The EMEP</w:t>
      </w:r>
      <w:r w:rsidR="00D07B7A">
        <w:t>/EEA guidebook</w:t>
      </w:r>
      <w:r>
        <w:t xml:space="preserve"> 2019 provide</w:t>
      </w:r>
      <w:r w:rsidR="00D07B7A">
        <w:t>s</w:t>
      </w:r>
      <w:r>
        <w:t xml:space="preserve"> a Tier 1 methodology to calculate the emissions of HCB from the application of pesticides. The ERT </w:t>
      </w:r>
      <w:r w:rsidR="00D07B7A">
        <w:t>recommends</w:t>
      </w:r>
      <w:r>
        <w:t xml:space="preserve"> Montenegro to include HCB emissions from the use of pesticides in the inventory.</w:t>
      </w:r>
    </w:p>
    <w:p w14:paraId="048BAD61" w14:textId="5781945A" w:rsidR="4E500920" w:rsidRPr="00632720" w:rsidRDefault="2A9278A2" w:rsidP="00632720">
      <w:pPr>
        <w:pStyle w:val="berschrift5"/>
      </w:pPr>
      <w:r w:rsidRPr="00632720">
        <w:t>Category issue 4: 3.B Manure management</w:t>
      </w:r>
    </w:p>
    <w:p w14:paraId="72DE1DAB" w14:textId="2C5D30E5" w:rsidR="2A9278A2" w:rsidRPr="00984711" w:rsidRDefault="2A9278A2" w:rsidP="007F5740">
      <w:pPr>
        <w:pStyle w:val="RegPara"/>
      </w:pPr>
      <w:r w:rsidRPr="00984711">
        <w:t>The ERT notes that Montenegro has estimated its NH</w:t>
      </w:r>
      <w:r w:rsidRPr="00D07B7A">
        <w:rPr>
          <w:vertAlign w:val="subscript"/>
        </w:rPr>
        <w:t>3</w:t>
      </w:r>
      <w:r w:rsidRPr="00984711">
        <w:t xml:space="preserve"> </w:t>
      </w:r>
      <w:r w:rsidR="00D07B7A">
        <w:t xml:space="preserve">and </w:t>
      </w:r>
      <w:r w:rsidRPr="00984711">
        <w:t xml:space="preserve">NOx emissions using Tier 1 methods. Montenegro has indicated that it will implement a Tier 2 method in 2022 or 2023. The ERT </w:t>
      </w:r>
      <w:r w:rsidR="00D07B7A">
        <w:t>recommends</w:t>
      </w:r>
      <w:r w:rsidRPr="00984711">
        <w:t xml:space="preserve"> Montenegro to apply a higher Tier method as soon as possible.  </w:t>
      </w:r>
    </w:p>
    <w:p w14:paraId="74B2F158" w14:textId="77777777" w:rsidR="00AC07FB" w:rsidRDefault="00945281" w:rsidP="2A9278A2">
      <w:pPr>
        <w:pStyle w:val="berschrift2"/>
        <w:rPr>
          <w:rFonts w:eastAsia="MS Mincho"/>
          <w:lang w:eastAsia="ja-JP"/>
        </w:rPr>
      </w:pPr>
      <w:r>
        <w:rPr>
          <w:rFonts w:eastAsia="MS Mincho"/>
          <w:highlight w:val="lightGray"/>
        </w:rPr>
        <w:br w:type="page"/>
      </w:r>
      <w:bookmarkStart w:id="47" w:name="_Toc79490437"/>
      <w:r w:rsidR="00AC07FB">
        <w:rPr>
          <w:rFonts w:eastAsia="MS Mincho"/>
          <w:lang w:eastAsia="ja-JP"/>
        </w:rPr>
        <w:lastRenderedPageBreak/>
        <w:t>Waste</w:t>
      </w:r>
      <w:bookmarkEnd w:id="47"/>
    </w:p>
    <w:p w14:paraId="0FE1A32D" w14:textId="77777777" w:rsidR="00AC07FB" w:rsidRDefault="2A9278A2" w:rsidP="00AC07FB">
      <w:pPr>
        <w:pStyle w:val="berschrift4"/>
      </w:pPr>
      <w:r>
        <w:t>Review Scope</w:t>
      </w:r>
    </w:p>
    <w:tbl>
      <w:tblPr>
        <w:tblW w:w="8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8"/>
        <w:gridCol w:w="3543"/>
        <w:gridCol w:w="993"/>
        <w:gridCol w:w="992"/>
        <w:gridCol w:w="1701"/>
      </w:tblGrid>
      <w:tr w:rsidR="00AC07FB" w:rsidRPr="0001649B" w14:paraId="0433971B" w14:textId="77777777" w:rsidTr="2A9278A2">
        <w:tc>
          <w:tcPr>
            <w:tcW w:w="4541" w:type="dxa"/>
            <w:gridSpan w:val="2"/>
            <w:tcBorders>
              <w:top w:val="single" w:sz="4" w:space="0" w:color="auto"/>
              <w:left w:val="single" w:sz="4" w:space="0" w:color="auto"/>
              <w:bottom w:val="single" w:sz="4" w:space="0" w:color="auto"/>
              <w:right w:val="single" w:sz="4" w:space="0" w:color="auto"/>
            </w:tcBorders>
            <w:shd w:val="clear" w:color="auto" w:fill="CCCCCC"/>
            <w:noWrap/>
            <w:vAlign w:val="center"/>
          </w:tcPr>
          <w:p w14:paraId="5E3D9F88" w14:textId="77777777" w:rsidR="00AC07FB" w:rsidRPr="00C753DA" w:rsidRDefault="2A9278A2" w:rsidP="2A9278A2">
            <w:pPr>
              <w:pStyle w:val="TableText"/>
              <w:rPr>
                <w:b/>
                <w:bCs/>
              </w:rPr>
            </w:pPr>
            <w:r w:rsidRPr="2A9278A2">
              <w:rPr>
                <w:b/>
                <w:bCs/>
              </w:rPr>
              <w:t>Pollutants Reviewed</w:t>
            </w:r>
          </w:p>
        </w:tc>
        <w:tc>
          <w:tcPr>
            <w:tcW w:w="368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1E085B" w14:textId="77777777" w:rsidR="00AC07FB" w:rsidRPr="00DC1A1A" w:rsidRDefault="2A9278A2" w:rsidP="2A9278A2">
            <w:pPr>
              <w:pStyle w:val="TableText"/>
              <w:rPr>
                <w:lang w:val="de-DE"/>
              </w:rPr>
            </w:pPr>
            <w:r w:rsidRPr="2A9278A2">
              <w:rPr>
                <w:lang w:val="de-DE"/>
              </w:rPr>
              <w:t>SO</w:t>
            </w:r>
            <w:r w:rsidRPr="2A9278A2">
              <w:rPr>
                <w:vertAlign w:val="subscript"/>
                <w:lang w:val="de-DE"/>
              </w:rPr>
              <w:t>2</w:t>
            </w:r>
            <w:r w:rsidRPr="2A9278A2">
              <w:rPr>
                <w:lang w:val="de-DE"/>
              </w:rPr>
              <w:t>, NOx, NMVOC, NH</w:t>
            </w:r>
            <w:r w:rsidRPr="2A9278A2">
              <w:rPr>
                <w:vertAlign w:val="subscript"/>
                <w:lang w:val="de-DE"/>
              </w:rPr>
              <w:t>3</w:t>
            </w:r>
            <w:r w:rsidRPr="2A9278A2">
              <w:rPr>
                <w:lang w:val="de-DE"/>
              </w:rPr>
              <w:t>, PM</w:t>
            </w:r>
            <w:r w:rsidRPr="2A9278A2">
              <w:rPr>
                <w:vertAlign w:val="subscript"/>
                <w:lang w:val="de-DE"/>
              </w:rPr>
              <w:t>10</w:t>
            </w:r>
            <w:r w:rsidRPr="2A9278A2">
              <w:rPr>
                <w:lang w:val="de-DE"/>
              </w:rPr>
              <w:t xml:space="preserve"> &amp; PM</w:t>
            </w:r>
            <w:r w:rsidRPr="2A9278A2">
              <w:rPr>
                <w:vertAlign w:val="subscript"/>
                <w:lang w:val="de-DE"/>
              </w:rPr>
              <w:t>2.5</w:t>
            </w:r>
          </w:p>
        </w:tc>
      </w:tr>
      <w:tr w:rsidR="00AC07FB" w:rsidRPr="0001649B" w14:paraId="139435D7" w14:textId="77777777" w:rsidTr="2A9278A2">
        <w:tc>
          <w:tcPr>
            <w:tcW w:w="4541" w:type="dxa"/>
            <w:gridSpan w:val="2"/>
            <w:tcBorders>
              <w:top w:val="single" w:sz="4" w:space="0" w:color="auto"/>
              <w:left w:val="single" w:sz="4" w:space="0" w:color="auto"/>
              <w:bottom w:val="single" w:sz="4" w:space="0" w:color="auto"/>
              <w:right w:val="single" w:sz="4" w:space="0" w:color="auto"/>
            </w:tcBorders>
            <w:shd w:val="clear" w:color="auto" w:fill="CCCCCC"/>
            <w:noWrap/>
            <w:vAlign w:val="center"/>
          </w:tcPr>
          <w:p w14:paraId="4A3886A7" w14:textId="77777777" w:rsidR="00AC07FB" w:rsidRPr="00C753DA" w:rsidRDefault="2A9278A2" w:rsidP="2A9278A2">
            <w:pPr>
              <w:pStyle w:val="TableText"/>
              <w:rPr>
                <w:b/>
                <w:bCs/>
              </w:rPr>
            </w:pPr>
            <w:r w:rsidRPr="2A9278A2">
              <w:rPr>
                <w:b/>
                <w:bCs/>
              </w:rPr>
              <w:t>Years</w:t>
            </w:r>
          </w:p>
        </w:tc>
        <w:tc>
          <w:tcPr>
            <w:tcW w:w="368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29612" w14:textId="77777777" w:rsidR="00AC07FB" w:rsidRPr="00DC1A1A" w:rsidRDefault="2A9278A2" w:rsidP="2A9278A2">
            <w:pPr>
              <w:pStyle w:val="TableText"/>
              <w:rPr>
                <w:lang w:val="de-DE"/>
              </w:rPr>
            </w:pPr>
            <w:r w:rsidRPr="2A9278A2">
              <w:rPr>
                <w:lang w:val="de-DE"/>
              </w:rPr>
              <w:t>1990 – 2019 + (Protocol Years)</w:t>
            </w:r>
          </w:p>
        </w:tc>
      </w:tr>
      <w:tr w:rsidR="00AC07FB" w:rsidRPr="00C753DA" w14:paraId="1FCBE21A" w14:textId="77777777" w:rsidTr="2A9278A2">
        <w:tc>
          <w:tcPr>
            <w:tcW w:w="998" w:type="dxa"/>
            <w:shd w:val="clear" w:color="auto" w:fill="CCCCCC"/>
            <w:noWrap/>
            <w:vAlign w:val="center"/>
          </w:tcPr>
          <w:p w14:paraId="37E231FA" w14:textId="77777777" w:rsidR="00AC07FB" w:rsidRPr="00AC57A7" w:rsidRDefault="2A9278A2" w:rsidP="2A9278A2">
            <w:pPr>
              <w:pStyle w:val="TableText"/>
              <w:jc w:val="center"/>
              <w:rPr>
                <w:rFonts w:eastAsia="Arial Unicode MS"/>
                <w:b/>
                <w:bCs/>
              </w:rPr>
            </w:pPr>
            <w:r w:rsidRPr="2A9278A2">
              <w:rPr>
                <w:b/>
                <w:bCs/>
              </w:rPr>
              <w:t>Code</w:t>
            </w:r>
          </w:p>
        </w:tc>
        <w:tc>
          <w:tcPr>
            <w:tcW w:w="3543" w:type="dxa"/>
            <w:shd w:val="clear" w:color="auto" w:fill="CCCCCC"/>
            <w:vAlign w:val="center"/>
          </w:tcPr>
          <w:p w14:paraId="7BA4187C" w14:textId="77777777" w:rsidR="00AC07FB" w:rsidRPr="00AC57A7" w:rsidRDefault="2A9278A2" w:rsidP="2A9278A2">
            <w:pPr>
              <w:pStyle w:val="TableText"/>
              <w:jc w:val="center"/>
              <w:rPr>
                <w:b/>
                <w:bCs/>
              </w:rPr>
            </w:pPr>
            <w:r w:rsidRPr="2A9278A2">
              <w:rPr>
                <w:b/>
                <w:bCs/>
              </w:rPr>
              <w:t>Name</w:t>
            </w:r>
          </w:p>
        </w:tc>
        <w:tc>
          <w:tcPr>
            <w:tcW w:w="993" w:type="dxa"/>
            <w:shd w:val="clear" w:color="auto" w:fill="CCCCCC"/>
            <w:vAlign w:val="center"/>
          </w:tcPr>
          <w:p w14:paraId="614C56FD" w14:textId="77777777" w:rsidR="00AC07FB" w:rsidRPr="00C753DA" w:rsidRDefault="2A9278A2" w:rsidP="2A9278A2">
            <w:pPr>
              <w:pStyle w:val="TableText"/>
              <w:jc w:val="center"/>
              <w:rPr>
                <w:rFonts w:eastAsia="Arial Unicode MS"/>
                <w:b/>
                <w:bCs/>
              </w:rPr>
            </w:pPr>
            <w:r w:rsidRPr="2A9278A2">
              <w:rPr>
                <w:b/>
                <w:bCs/>
              </w:rPr>
              <w:t>Reviewed</w:t>
            </w:r>
          </w:p>
        </w:tc>
        <w:tc>
          <w:tcPr>
            <w:tcW w:w="992" w:type="dxa"/>
            <w:shd w:val="clear" w:color="auto" w:fill="CCCCCC"/>
            <w:vAlign w:val="center"/>
          </w:tcPr>
          <w:p w14:paraId="48B2112F" w14:textId="77777777" w:rsidR="00AC07FB" w:rsidRPr="00C753DA" w:rsidRDefault="2A9278A2" w:rsidP="2A9278A2">
            <w:pPr>
              <w:pStyle w:val="TableText"/>
              <w:jc w:val="center"/>
              <w:rPr>
                <w:b/>
                <w:bCs/>
              </w:rPr>
            </w:pPr>
            <w:r w:rsidRPr="2A9278A2">
              <w:rPr>
                <w:b/>
                <w:bCs/>
              </w:rPr>
              <w:t>Not Reviewed</w:t>
            </w:r>
          </w:p>
        </w:tc>
        <w:tc>
          <w:tcPr>
            <w:tcW w:w="1701" w:type="dxa"/>
            <w:shd w:val="clear" w:color="auto" w:fill="CCCCCC"/>
            <w:vAlign w:val="center"/>
          </w:tcPr>
          <w:p w14:paraId="724A19C7" w14:textId="77777777" w:rsidR="00AC07FB" w:rsidRPr="00C753DA" w:rsidRDefault="2A9278A2" w:rsidP="2A9278A2">
            <w:pPr>
              <w:pStyle w:val="TableText"/>
              <w:jc w:val="center"/>
              <w:rPr>
                <w:b/>
                <w:bCs/>
              </w:rPr>
            </w:pPr>
            <w:r w:rsidRPr="2A9278A2">
              <w:rPr>
                <w:b/>
                <w:bCs/>
              </w:rPr>
              <w:t>Recommendation Provided</w:t>
            </w:r>
          </w:p>
        </w:tc>
      </w:tr>
      <w:tr w:rsidR="00AC07FB" w:rsidRPr="0001649B" w14:paraId="1CF7ABD7" w14:textId="77777777" w:rsidTr="2A9278A2">
        <w:tc>
          <w:tcPr>
            <w:tcW w:w="998" w:type="dxa"/>
            <w:shd w:val="clear" w:color="auto" w:fill="E0E0E0"/>
            <w:noWrap/>
            <w:vAlign w:val="center"/>
          </w:tcPr>
          <w:p w14:paraId="6BADCE31" w14:textId="77777777" w:rsidR="00AC07FB" w:rsidRPr="0001649B" w:rsidRDefault="2A9278A2" w:rsidP="00504A09">
            <w:pPr>
              <w:pStyle w:val="TableText"/>
            </w:pPr>
            <w:r>
              <w:t>5A</w:t>
            </w:r>
          </w:p>
        </w:tc>
        <w:tc>
          <w:tcPr>
            <w:tcW w:w="3543" w:type="dxa"/>
            <w:shd w:val="clear" w:color="auto" w:fill="E0E0E0"/>
            <w:vAlign w:val="center"/>
          </w:tcPr>
          <w:p w14:paraId="05CC2A56" w14:textId="77777777" w:rsidR="00AC07FB" w:rsidRPr="0001649B" w:rsidRDefault="2A9278A2" w:rsidP="00504A09">
            <w:pPr>
              <w:pStyle w:val="TableText"/>
            </w:pPr>
            <w:r>
              <w:t>Solid waste disposal on land</w:t>
            </w:r>
          </w:p>
        </w:tc>
        <w:tc>
          <w:tcPr>
            <w:tcW w:w="993" w:type="dxa"/>
            <w:vAlign w:val="center"/>
          </w:tcPr>
          <w:p w14:paraId="0480D487" w14:textId="77777777" w:rsidR="00AC07FB" w:rsidRPr="008921E2" w:rsidRDefault="2A9278A2" w:rsidP="2A9278A2">
            <w:pPr>
              <w:pStyle w:val="TableText"/>
              <w:jc w:val="center"/>
              <w:rPr>
                <w:rFonts w:eastAsia="Arial Unicode MS"/>
              </w:rPr>
            </w:pPr>
            <w:r w:rsidRPr="2A9278A2">
              <w:rPr>
                <w:rFonts w:eastAsia="Arial Unicode MS"/>
              </w:rPr>
              <w:t>X</w:t>
            </w:r>
          </w:p>
        </w:tc>
        <w:tc>
          <w:tcPr>
            <w:tcW w:w="992" w:type="dxa"/>
            <w:vAlign w:val="center"/>
          </w:tcPr>
          <w:p w14:paraId="5D65E3C2" w14:textId="77777777" w:rsidR="00AC07FB" w:rsidRPr="008921E2" w:rsidRDefault="00AC07FB" w:rsidP="00504A09">
            <w:pPr>
              <w:pStyle w:val="TableText"/>
              <w:jc w:val="center"/>
              <w:rPr>
                <w:rFonts w:eastAsia="Arial Unicode MS"/>
              </w:rPr>
            </w:pPr>
          </w:p>
        </w:tc>
        <w:tc>
          <w:tcPr>
            <w:tcW w:w="1701" w:type="dxa"/>
            <w:vAlign w:val="center"/>
          </w:tcPr>
          <w:p w14:paraId="28DF6378" w14:textId="77777777" w:rsidR="00AC07FB" w:rsidRPr="008921E2" w:rsidRDefault="2A9278A2" w:rsidP="2A9278A2">
            <w:pPr>
              <w:pStyle w:val="TableText"/>
              <w:jc w:val="center"/>
              <w:rPr>
                <w:rFonts w:eastAsia="Arial Unicode MS"/>
              </w:rPr>
            </w:pPr>
            <w:r w:rsidRPr="2A9278A2">
              <w:rPr>
                <w:rFonts w:eastAsia="Arial Unicode MS"/>
              </w:rPr>
              <w:t>x</w:t>
            </w:r>
          </w:p>
        </w:tc>
      </w:tr>
      <w:tr w:rsidR="00AC07FB" w:rsidRPr="0001649B" w14:paraId="5B88ABE5" w14:textId="77777777" w:rsidTr="2A9278A2">
        <w:tc>
          <w:tcPr>
            <w:tcW w:w="998" w:type="dxa"/>
            <w:shd w:val="clear" w:color="auto" w:fill="E0E0E0"/>
            <w:noWrap/>
            <w:vAlign w:val="center"/>
          </w:tcPr>
          <w:p w14:paraId="64882840" w14:textId="77777777" w:rsidR="00AC07FB" w:rsidRPr="0001649B" w:rsidRDefault="2A9278A2" w:rsidP="2A9278A2">
            <w:pPr>
              <w:pStyle w:val="TableText"/>
              <w:rPr>
                <w:rFonts w:eastAsia="Arial Unicode MS"/>
              </w:rPr>
            </w:pPr>
            <w:r>
              <w:t>5B1</w:t>
            </w:r>
          </w:p>
        </w:tc>
        <w:tc>
          <w:tcPr>
            <w:tcW w:w="3543" w:type="dxa"/>
            <w:shd w:val="clear" w:color="auto" w:fill="E0E0E0"/>
            <w:vAlign w:val="center"/>
          </w:tcPr>
          <w:p w14:paraId="567D1496" w14:textId="77777777" w:rsidR="00AC07FB" w:rsidRPr="0001649B" w:rsidRDefault="2A9278A2" w:rsidP="2A9278A2">
            <w:pPr>
              <w:pStyle w:val="TableText"/>
              <w:rPr>
                <w:rFonts w:eastAsia="Arial Unicode MS"/>
              </w:rPr>
            </w:pPr>
            <w:r>
              <w:t>Biological treatment of waste - Composting</w:t>
            </w:r>
          </w:p>
        </w:tc>
        <w:tc>
          <w:tcPr>
            <w:tcW w:w="993" w:type="dxa"/>
            <w:vAlign w:val="center"/>
          </w:tcPr>
          <w:p w14:paraId="178BA991" w14:textId="77777777" w:rsidR="00AC07FB" w:rsidRPr="008921E2" w:rsidRDefault="2A9278A2" w:rsidP="2A9278A2">
            <w:pPr>
              <w:pStyle w:val="TableText"/>
              <w:jc w:val="center"/>
              <w:rPr>
                <w:rFonts w:eastAsia="Arial Unicode MS"/>
              </w:rPr>
            </w:pPr>
            <w:r w:rsidRPr="2A9278A2">
              <w:rPr>
                <w:rFonts w:eastAsia="Arial Unicode MS"/>
              </w:rPr>
              <w:t>NE</w:t>
            </w:r>
          </w:p>
        </w:tc>
        <w:tc>
          <w:tcPr>
            <w:tcW w:w="992" w:type="dxa"/>
            <w:vAlign w:val="center"/>
          </w:tcPr>
          <w:p w14:paraId="63F4E8CE" w14:textId="77777777" w:rsidR="00AC07FB" w:rsidRPr="008921E2" w:rsidRDefault="00AC07FB" w:rsidP="00504A09">
            <w:pPr>
              <w:pStyle w:val="TableText"/>
              <w:jc w:val="center"/>
              <w:rPr>
                <w:rFonts w:eastAsia="Arial Unicode MS"/>
              </w:rPr>
            </w:pPr>
          </w:p>
        </w:tc>
        <w:tc>
          <w:tcPr>
            <w:tcW w:w="1701" w:type="dxa"/>
            <w:vAlign w:val="center"/>
          </w:tcPr>
          <w:p w14:paraId="45940B77" w14:textId="77777777" w:rsidR="00AC07FB" w:rsidRPr="008921E2" w:rsidRDefault="00AC07FB" w:rsidP="00504A09">
            <w:pPr>
              <w:pStyle w:val="TableText"/>
              <w:jc w:val="center"/>
              <w:rPr>
                <w:rFonts w:eastAsia="Arial Unicode MS"/>
              </w:rPr>
            </w:pPr>
          </w:p>
        </w:tc>
      </w:tr>
      <w:tr w:rsidR="00AC07FB" w:rsidRPr="0001649B" w14:paraId="7F9AE385" w14:textId="77777777" w:rsidTr="2A9278A2">
        <w:tc>
          <w:tcPr>
            <w:tcW w:w="998" w:type="dxa"/>
            <w:shd w:val="clear" w:color="auto" w:fill="E0E0E0"/>
            <w:noWrap/>
            <w:vAlign w:val="center"/>
          </w:tcPr>
          <w:p w14:paraId="25375DF7" w14:textId="77777777" w:rsidR="00AC07FB" w:rsidRPr="0001649B" w:rsidRDefault="2A9278A2" w:rsidP="2A9278A2">
            <w:pPr>
              <w:pStyle w:val="TableText"/>
              <w:rPr>
                <w:rFonts w:eastAsia="Arial Unicode MS"/>
              </w:rPr>
            </w:pPr>
            <w:r>
              <w:t>5B2</w:t>
            </w:r>
          </w:p>
        </w:tc>
        <w:tc>
          <w:tcPr>
            <w:tcW w:w="3543" w:type="dxa"/>
            <w:shd w:val="clear" w:color="auto" w:fill="E0E0E0"/>
            <w:vAlign w:val="center"/>
          </w:tcPr>
          <w:p w14:paraId="581C842D" w14:textId="77777777" w:rsidR="00AC07FB" w:rsidRPr="0001649B" w:rsidRDefault="2A9278A2" w:rsidP="2A9278A2">
            <w:pPr>
              <w:pStyle w:val="TableText"/>
              <w:rPr>
                <w:rFonts w:eastAsia="Arial Unicode MS"/>
              </w:rPr>
            </w:pPr>
            <w:r>
              <w:t>Biological treatment of waste - Anaerobic digestion at biogas facilities</w:t>
            </w:r>
          </w:p>
        </w:tc>
        <w:tc>
          <w:tcPr>
            <w:tcW w:w="993" w:type="dxa"/>
            <w:vAlign w:val="center"/>
          </w:tcPr>
          <w:p w14:paraId="59079C12" w14:textId="77777777" w:rsidR="00AC07FB" w:rsidRPr="008921E2" w:rsidRDefault="2A9278A2" w:rsidP="2A9278A2">
            <w:pPr>
              <w:pStyle w:val="TableText"/>
              <w:jc w:val="center"/>
              <w:rPr>
                <w:rFonts w:eastAsia="Arial Unicode MS"/>
              </w:rPr>
            </w:pPr>
            <w:r w:rsidRPr="2A9278A2">
              <w:rPr>
                <w:rFonts w:eastAsia="Arial Unicode MS"/>
              </w:rPr>
              <w:t>NO</w:t>
            </w:r>
          </w:p>
        </w:tc>
        <w:tc>
          <w:tcPr>
            <w:tcW w:w="992" w:type="dxa"/>
            <w:vAlign w:val="center"/>
          </w:tcPr>
          <w:p w14:paraId="13FB43B2" w14:textId="77777777" w:rsidR="00AC07FB" w:rsidRPr="008921E2" w:rsidRDefault="00AC07FB" w:rsidP="00504A09">
            <w:pPr>
              <w:pStyle w:val="TableText"/>
              <w:jc w:val="center"/>
              <w:rPr>
                <w:rFonts w:eastAsia="Arial Unicode MS"/>
              </w:rPr>
            </w:pPr>
          </w:p>
        </w:tc>
        <w:tc>
          <w:tcPr>
            <w:tcW w:w="1701" w:type="dxa"/>
            <w:vAlign w:val="center"/>
          </w:tcPr>
          <w:p w14:paraId="2960BF62" w14:textId="77777777" w:rsidR="00AC07FB" w:rsidRPr="008921E2" w:rsidRDefault="00AC07FB" w:rsidP="00504A09">
            <w:pPr>
              <w:pStyle w:val="TableText"/>
              <w:jc w:val="center"/>
              <w:rPr>
                <w:rFonts w:eastAsia="Arial Unicode MS"/>
              </w:rPr>
            </w:pPr>
          </w:p>
        </w:tc>
      </w:tr>
      <w:tr w:rsidR="00AC07FB" w:rsidRPr="0001649B" w14:paraId="380CCFF0" w14:textId="77777777" w:rsidTr="2A9278A2">
        <w:tc>
          <w:tcPr>
            <w:tcW w:w="998" w:type="dxa"/>
            <w:shd w:val="clear" w:color="auto" w:fill="E0E0E0"/>
            <w:noWrap/>
            <w:vAlign w:val="center"/>
          </w:tcPr>
          <w:p w14:paraId="74176C1C" w14:textId="77777777" w:rsidR="00AC07FB" w:rsidRPr="0001649B" w:rsidRDefault="2A9278A2" w:rsidP="00504A09">
            <w:pPr>
              <w:pStyle w:val="TableText"/>
            </w:pPr>
            <w:r>
              <w:t>5C1a</w:t>
            </w:r>
          </w:p>
        </w:tc>
        <w:tc>
          <w:tcPr>
            <w:tcW w:w="3543" w:type="dxa"/>
            <w:shd w:val="clear" w:color="auto" w:fill="E0E0E0"/>
            <w:vAlign w:val="center"/>
          </w:tcPr>
          <w:p w14:paraId="419B65AF" w14:textId="77777777" w:rsidR="00AC07FB" w:rsidRPr="0001649B" w:rsidRDefault="2A9278A2" w:rsidP="00504A09">
            <w:pPr>
              <w:pStyle w:val="TableText"/>
            </w:pPr>
            <w:r>
              <w:t>Municipal waste incineration</w:t>
            </w:r>
          </w:p>
        </w:tc>
        <w:tc>
          <w:tcPr>
            <w:tcW w:w="993" w:type="dxa"/>
            <w:vAlign w:val="center"/>
          </w:tcPr>
          <w:p w14:paraId="0198B9A1" w14:textId="77777777" w:rsidR="00AC07FB" w:rsidRPr="008921E2" w:rsidRDefault="2A9278A2" w:rsidP="2A9278A2">
            <w:pPr>
              <w:pStyle w:val="TableText"/>
              <w:jc w:val="center"/>
              <w:rPr>
                <w:rFonts w:eastAsia="Arial Unicode MS"/>
              </w:rPr>
            </w:pPr>
            <w:r w:rsidRPr="2A9278A2">
              <w:rPr>
                <w:rFonts w:eastAsia="Arial Unicode MS"/>
              </w:rPr>
              <w:t>NO/NE</w:t>
            </w:r>
          </w:p>
        </w:tc>
        <w:tc>
          <w:tcPr>
            <w:tcW w:w="992" w:type="dxa"/>
            <w:vAlign w:val="center"/>
          </w:tcPr>
          <w:p w14:paraId="5B15FACD" w14:textId="77777777" w:rsidR="00AC07FB" w:rsidRPr="008921E2" w:rsidRDefault="00AC07FB" w:rsidP="00504A09">
            <w:pPr>
              <w:pStyle w:val="TableText"/>
              <w:jc w:val="center"/>
              <w:rPr>
                <w:rFonts w:eastAsia="Arial Unicode MS"/>
              </w:rPr>
            </w:pPr>
          </w:p>
        </w:tc>
        <w:tc>
          <w:tcPr>
            <w:tcW w:w="1701" w:type="dxa"/>
            <w:vAlign w:val="center"/>
          </w:tcPr>
          <w:p w14:paraId="754375D8" w14:textId="77777777" w:rsidR="00AC07FB" w:rsidRPr="008921E2" w:rsidRDefault="00AC07FB" w:rsidP="00504A09">
            <w:pPr>
              <w:pStyle w:val="TableText"/>
              <w:jc w:val="center"/>
              <w:rPr>
                <w:rFonts w:eastAsia="Arial Unicode MS"/>
              </w:rPr>
            </w:pPr>
          </w:p>
        </w:tc>
      </w:tr>
      <w:tr w:rsidR="00AC07FB" w:rsidRPr="0001649B" w14:paraId="308D4284" w14:textId="77777777" w:rsidTr="2A9278A2">
        <w:tc>
          <w:tcPr>
            <w:tcW w:w="998" w:type="dxa"/>
            <w:shd w:val="clear" w:color="auto" w:fill="E0E0E0"/>
            <w:noWrap/>
            <w:vAlign w:val="center"/>
          </w:tcPr>
          <w:p w14:paraId="5E91F663" w14:textId="77777777" w:rsidR="00AC07FB" w:rsidRPr="0001649B" w:rsidRDefault="2A9278A2" w:rsidP="00504A09">
            <w:pPr>
              <w:pStyle w:val="TableText"/>
            </w:pPr>
            <w:r>
              <w:t>5C1bi</w:t>
            </w:r>
          </w:p>
        </w:tc>
        <w:tc>
          <w:tcPr>
            <w:tcW w:w="3543" w:type="dxa"/>
            <w:shd w:val="clear" w:color="auto" w:fill="E0E0E0"/>
            <w:vAlign w:val="center"/>
          </w:tcPr>
          <w:p w14:paraId="20A629C1" w14:textId="77777777" w:rsidR="00AC07FB" w:rsidRPr="0001649B" w:rsidRDefault="2A9278A2" w:rsidP="00504A09">
            <w:pPr>
              <w:pStyle w:val="TableText"/>
            </w:pPr>
            <w:r>
              <w:t>Industrial waste incineration</w:t>
            </w:r>
          </w:p>
        </w:tc>
        <w:tc>
          <w:tcPr>
            <w:tcW w:w="993" w:type="dxa"/>
            <w:vAlign w:val="center"/>
          </w:tcPr>
          <w:p w14:paraId="219C9945" w14:textId="77777777" w:rsidR="00AC07FB" w:rsidRPr="008921E2" w:rsidRDefault="2A9278A2" w:rsidP="2A9278A2">
            <w:pPr>
              <w:pStyle w:val="TableText"/>
              <w:jc w:val="center"/>
              <w:rPr>
                <w:rFonts w:eastAsia="Arial Unicode MS"/>
              </w:rPr>
            </w:pPr>
            <w:r w:rsidRPr="2A9278A2">
              <w:rPr>
                <w:rFonts w:eastAsia="Arial Unicode MS"/>
              </w:rPr>
              <w:t>NO</w:t>
            </w:r>
          </w:p>
        </w:tc>
        <w:tc>
          <w:tcPr>
            <w:tcW w:w="992" w:type="dxa"/>
            <w:vAlign w:val="center"/>
          </w:tcPr>
          <w:p w14:paraId="0FB0C2D6" w14:textId="77777777" w:rsidR="00AC07FB" w:rsidRPr="008921E2" w:rsidRDefault="00AC07FB" w:rsidP="00504A09">
            <w:pPr>
              <w:pStyle w:val="TableText"/>
              <w:jc w:val="center"/>
              <w:rPr>
                <w:rFonts w:eastAsia="Arial Unicode MS"/>
              </w:rPr>
            </w:pPr>
          </w:p>
        </w:tc>
        <w:tc>
          <w:tcPr>
            <w:tcW w:w="1701" w:type="dxa"/>
            <w:vAlign w:val="center"/>
          </w:tcPr>
          <w:p w14:paraId="0B2F4C42" w14:textId="77777777" w:rsidR="00AC07FB" w:rsidRPr="008921E2" w:rsidRDefault="00AC07FB" w:rsidP="00504A09">
            <w:pPr>
              <w:pStyle w:val="TableText"/>
              <w:jc w:val="center"/>
              <w:rPr>
                <w:rFonts w:eastAsia="Arial Unicode MS"/>
              </w:rPr>
            </w:pPr>
          </w:p>
        </w:tc>
      </w:tr>
      <w:tr w:rsidR="00AC07FB" w:rsidRPr="0001649B" w14:paraId="60409782" w14:textId="77777777" w:rsidTr="2A9278A2">
        <w:tc>
          <w:tcPr>
            <w:tcW w:w="998" w:type="dxa"/>
            <w:shd w:val="clear" w:color="auto" w:fill="E0E0E0"/>
            <w:noWrap/>
            <w:vAlign w:val="center"/>
          </w:tcPr>
          <w:p w14:paraId="363D80D2" w14:textId="77777777" w:rsidR="00AC07FB" w:rsidRPr="0001649B" w:rsidRDefault="2A9278A2" w:rsidP="00504A09">
            <w:pPr>
              <w:pStyle w:val="TableText"/>
            </w:pPr>
            <w:r>
              <w:t>5C1bii</w:t>
            </w:r>
          </w:p>
        </w:tc>
        <w:tc>
          <w:tcPr>
            <w:tcW w:w="3543" w:type="dxa"/>
            <w:shd w:val="clear" w:color="auto" w:fill="E0E0E0"/>
            <w:vAlign w:val="center"/>
          </w:tcPr>
          <w:p w14:paraId="7083BAF9" w14:textId="77777777" w:rsidR="00AC07FB" w:rsidRPr="0001649B" w:rsidRDefault="2A9278A2" w:rsidP="00504A09">
            <w:pPr>
              <w:pStyle w:val="TableText"/>
            </w:pPr>
            <w:r>
              <w:t>Hazardous waste incineration</w:t>
            </w:r>
          </w:p>
        </w:tc>
        <w:tc>
          <w:tcPr>
            <w:tcW w:w="993" w:type="dxa"/>
            <w:vAlign w:val="center"/>
          </w:tcPr>
          <w:p w14:paraId="08A8D5A0" w14:textId="77777777" w:rsidR="00AC07FB" w:rsidRPr="008921E2" w:rsidRDefault="2A9278A2" w:rsidP="2A9278A2">
            <w:pPr>
              <w:pStyle w:val="TableText"/>
              <w:jc w:val="center"/>
              <w:rPr>
                <w:rFonts w:eastAsia="Arial Unicode MS"/>
              </w:rPr>
            </w:pPr>
            <w:r w:rsidRPr="2A9278A2">
              <w:rPr>
                <w:rFonts w:eastAsia="Arial Unicode MS"/>
              </w:rPr>
              <w:t>NO</w:t>
            </w:r>
          </w:p>
        </w:tc>
        <w:tc>
          <w:tcPr>
            <w:tcW w:w="992" w:type="dxa"/>
            <w:vAlign w:val="center"/>
          </w:tcPr>
          <w:p w14:paraId="501815A5" w14:textId="77777777" w:rsidR="00AC07FB" w:rsidRPr="008921E2" w:rsidRDefault="00AC07FB" w:rsidP="00504A09">
            <w:pPr>
              <w:pStyle w:val="TableText"/>
              <w:jc w:val="center"/>
              <w:rPr>
                <w:rFonts w:eastAsia="Arial Unicode MS"/>
              </w:rPr>
            </w:pPr>
          </w:p>
        </w:tc>
        <w:tc>
          <w:tcPr>
            <w:tcW w:w="1701" w:type="dxa"/>
            <w:vAlign w:val="center"/>
          </w:tcPr>
          <w:p w14:paraId="47032F76" w14:textId="77777777" w:rsidR="00AC07FB" w:rsidRPr="008921E2" w:rsidRDefault="00AC07FB" w:rsidP="00504A09">
            <w:pPr>
              <w:pStyle w:val="TableText"/>
              <w:jc w:val="center"/>
              <w:rPr>
                <w:rFonts w:eastAsia="Arial Unicode MS"/>
              </w:rPr>
            </w:pPr>
          </w:p>
        </w:tc>
      </w:tr>
      <w:tr w:rsidR="00AC07FB" w:rsidRPr="0001649B" w14:paraId="45244446" w14:textId="77777777" w:rsidTr="2A9278A2">
        <w:tc>
          <w:tcPr>
            <w:tcW w:w="998" w:type="dxa"/>
            <w:shd w:val="clear" w:color="auto" w:fill="E0E0E0"/>
            <w:noWrap/>
            <w:vAlign w:val="center"/>
          </w:tcPr>
          <w:p w14:paraId="290147AB" w14:textId="77777777" w:rsidR="00AC07FB" w:rsidRPr="0001649B" w:rsidRDefault="2A9278A2" w:rsidP="00504A09">
            <w:pPr>
              <w:pStyle w:val="TableText"/>
            </w:pPr>
            <w:r>
              <w:t>5C1biii</w:t>
            </w:r>
          </w:p>
        </w:tc>
        <w:tc>
          <w:tcPr>
            <w:tcW w:w="3543" w:type="dxa"/>
            <w:shd w:val="clear" w:color="auto" w:fill="E0E0E0"/>
            <w:vAlign w:val="center"/>
          </w:tcPr>
          <w:p w14:paraId="3127451C" w14:textId="77777777" w:rsidR="00AC07FB" w:rsidRPr="0001649B" w:rsidRDefault="2A9278A2" w:rsidP="00504A09">
            <w:pPr>
              <w:pStyle w:val="TableText"/>
            </w:pPr>
            <w:r>
              <w:t>Clinical waste incineration</w:t>
            </w:r>
          </w:p>
        </w:tc>
        <w:tc>
          <w:tcPr>
            <w:tcW w:w="993" w:type="dxa"/>
          </w:tcPr>
          <w:p w14:paraId="4A9322C8" w14:textId="77777777" w:rsidR="00AC07FB" w:rsidRPr="008921E2" w:rsidRDefault="2A9278A2" w:rsidP="2A9278A2">
            <w:pPr>
              <w:pStyle w:val="TableText"/>
              <w:jc w:val="center"/>
              <w:rPr>
                <w:rFonts w:eastAsia="Arial Unicode MS"/>
              </w:rPr>
            </w:pPr>
            <w:r w:rsidRPr="2A9278A2">
              <w:rPr>
                <w:rFonts w:eastAsia="Arial Unicode MS"/>
              </w:rPr>
              <w:t>NO</w:t>
            </w:r>
          </w:p>
        </w:tc>
        <w:tc>
          <w:tcPr>
            <w:tcW w:w="992" w:type="dxa"/>
            <w:vAlign w:val="center"/>
          </w:tcPr>
          <w:p w14:paraId="09AA23CF" w14:textId="77777777" w:rsidR="00AC07FB" w:rsidRPr="008921E2" w:rsidRDefault="00AC07FB" w:rsidP="00504A09">
            <w:pPr>
              <w:pStyle w:val="TableText"/>
              <w:jc w:val="center"/>
              <w:rPr>
                <w:rFonts w:eastAsia="Arial Unicode MS"/>
              </w:rPr>
            </w:pPr>
          </w:p>
        </w:tc>
        <w:tc>
          <w:tcPr>
            <w:tcW w:w="1701" w:type="dxa"/>
            <w:vAlign w:val="center"/>
          </w:tcPr>
          <w:p w14:paraId="5F2C64CF" w14:textId="77777777" w:rsidR="00AC07FB" w:rsidRPr="008921E2" w:rsidRDefault="00AC07FB" w:rsidP="00504A09">
            <w:pPr>
              <w:pStyle w:val="TableText"/>
              <w:jc w:val="center"/>
              <w:rPr>
                <w:rFonts w:eastAsia="Arial Unicode MS"/>
              </w:rPr>
            </w:pPr>
          </w:p>
        </w:tc>
      </w:tr>
      <w:tr w:rsidR="00AC07FB" w:rsidRPr="0001649B" w14:paraId="66ADA7B1" w14:textId="77777777" w:rsidTr="2A9278A2">
        <w:tc>
          <w:tcPr>
            <w:tcW w:w="998" w:type="dxa"/>
            <w:shd w:val="clear" w:color="auto" w:fill="E0E0E0"/>
            <w:noWrap/>
            <w:vAlign w:val="center"/>
          </w:tcPr>
          <w:p w14:paraId="1B5BFA90" w14:textId="77777777" w:rsidR="00AC07FB" w:rsidRPr="0001649B" w:rsidRDefault="2A9278A2" w:rsidP="00504A09">
            <w:pPr>
              <w:pStyle w:val="TableText"/>
            </w:pPr>
            <w:r>
              <w:t>5C1biv</w:t>
            </w:r>
          </w:p>
        </w:tc>
        <w:tc>
          <w:tcPr>
            <w:tcW w:w="3543" w:type="dxa"/>
            <w:shd w:val="clear" w:color="auto" w:fill="E0E0E0"/>
            <w:vAlign w:val="center"/>
          </w:tcPr>
          <w:p w14:paraId="32A82494" w14:textId="77777777" w:rsidR="00AC07FB" w:rsidRPr="0001649B" w:rsidRDefault="2A9278A2" w:rsidP="00504A09">
            <w:pPr>
              <w:pStyle w:val="TableText"/>
            </w:pPr>
            <w:r>
              <w:t>Sewage sludge incineration</w:t>
            </w:r>
          </w:p>
        </w:tc>
        <w:tc>
          <w:tcPr>
            <w:tcW w:w="993" w:type="dxa"/>
          </w:tcPr>
          <w:p w14:paraId="7790196E" w14:textId="77777777" w:rsidR="00AC07FB" w:rsidRPr="008921E2" w:rsidRDefault="2A9278A2" w:rsidP="2A9278A2">
            <w:pPr>
              <w:pStyle w:val="TableText"/>
              <w:jc w:val="center"/>
              <w:rPr>
                <w:rFonts w:eastAsia="Arial Unicode MS"/>
              </w:rPr>
            </w:pPr>
            <w:r w:rsidRPr="2A9278A2">
              <w:rPr>
                <w:rFonts w:eastAsia="Arial Unicode MS"/>
              </w:rPr>
              <w:t>NO</w:t>
            </w:r>
          </w:p>
        </w:tc>
        <w:tc>
          <w:tcPr>
            <w:tcW w:w="992" w:type="dxa"/>
            <w:vAlign w:val="center"/>
          </w:tcPr>
          <w:p w14:paraId="6E2C7EBA" w14:textId="77777777" w:rsidR="00AC07FB" w:rsidRPr="008921E2" w:rsidRDefault="00AC07FB" w:rsidP="00504A09">
            <w:pPr>
              <w:pStyle w:val="TableText"/>
              <w:jc w:val="center"/>
              <w:rPr>
                <w:rFonts w:eastAsia="Arial Unicode MS"/>
              </w:rPr>
            </w:pPr>
          </w:p>
        </w:tc>
        <w:tc>
          <w:tcPr>
            <w:tcW w:w="1701" w:type="dxa"/>
            <w:vAlign w:val="center"/>
          </w:tcPr>
          <w:p w14:paraId="3C06A9D2" w14:textId="77777777" w:rsidR="00AC07FB" w:rsidRPr="008921E2" w:rsidRDefault="00AC07FB" w:rsidP="00504A09">
            <w:pPr>
              <w:pStyle w:val="TableText"/>
              <w:jc w:val="center"/>
              <w:rPr>
                <w:rFonts w:eastAsia="Arial Unicode MS"/>
              </w:rPr>
            </w:pPr>
          </w:p>
        </w:tc>
      </w:tr>
      <w:tr w:rsidR="00AC07FB" w:rsidRPr="0001649B" w14:paraId="3D071AA7" w14:textId="77777777" w:rsidTr="2A9278A2">
        <w:tc>
          <w:tcPr>
            <w:tcW w:w="998" w:type="dxa"/>
            <w:shd w:val="clear" w:color="auto" w:fill="E0E0E0"/>
            <w:noWrap/>
            <w:vAlign w:val="center"/>
          </w:tcPr>
          <w:p w14:paraId="2F07194D" w14:textId="77777777" w:rsidR="00AC07FB" w:rsidRPr="0001649B" w:rsidRDefault="2A9278A2" w:rsidP="2A9278A2">
            <w:pPr>
              <w:pStyle w:val="TableText"/>
              <w:rPr>
                <w:rFonts w:eastAsia="Arial Unicode MS"/>
              </w:rPr>
            </w:pPr>
            <w:r>
              <w:t>5C1bv</w:t>
            </w:r>
          </w:p>
        </w:tc>
        <w:tc>
          <w:tcPr>
            <w:tcW w:w="3543" w:type="dxa"/>
            <w:shd w:val="clear" w:color="auto" w:fill="E0E0E0"/>
            <w:vAlign w:val="center"/>
          </w:tcPr>
          <w:p w14:paraId="3E627D4F" w14:textId="77777777" w:rsidR="00AC07FB" w:rsidRPr="0001649B" w:rsidRDefault="2A9278A2" w:rsidP="2A9278A2">
            <w:pPr>
              <w:pStyle w:val="TableText"/>
              <w:rPr>
                <w:rFonts w:eastAsia="Arial Unicode MS"/>
              </w:rPr>
            </w:pPr>
            <w:r>
              <w:t>Cremation</w:t>
            </w:r>
          </w:p>
        </w:tc>
        <w:tc>
          <w:tcPr>
            <w:tcW w:w="993" w:type="dxa"/>
          </w:tcPr>
          <w:p w14:paraId="636E0D79" w14:textId="77777777" w:rsidR="00AC07FB" w:rsidRPr="008921E2" w:rsidRDefault="2A9278A2" w:rsidP="2A9278A2">
            <w:pPr>
              <w:pStyle w:val="TableText"/>
              <w:jc w:val="center"/>
              <w:rPr>
                <w:rFonts w:eastAsia="Arial Unicode MS"/>
              </w:rPr>
            </w:pPr>
            <w:r w:rsidRPr="2A9278A2">
              <w:rPr>
                <w:rFonts w:eastAsia="Arial Unicode MS"/>
              </w:rPr>
              <w:t>NO</w:t>
            </w:r>
          </w:p>
        </w:tc>
        <w:tc>
          <w:tcPr>
            <w:tcW w:w="992" w:type="dxa"/>
            <w:vAlign w:val="center"/>
          </w:tcPr>
          <w:p w14:paraId="1007C9A1" w14:textId="77777777" w:rsidR="00AC07FB" w:rsidRPr="008921E2" w:rsidRDefault="00AC07FB" w:rsidP="00504A09">
            <w:pPr>
              <w:pStyle w:val="TableText"/>
              <w:jc w:val="center"/>
              <w:rPr>
                <w:rFonts w:eastAsia="Arial Unicode MS"/>
              </w:rPr>
            </w:pPr>
          </w:p>
        </w:tc>
        <w:tc>
          <w:tcPr>
            <w:tcW w:w="1701" w:type="dxa"/>
            <w:vAlign w:val="center"/>
          </w:tcPr>
          <w:p w14:paraId="15CEE3D5" w14:textId="77777777" w:rsidR="00AC07FB" w:rsidRPr="008921E2" w:rsidRDefault="00AC07FB" w:rsidP="00504A09">
            <w:pPr>
              <w:pStyle w:val="TableText"/>
              <w:jc w:val="center"/>
              <w:rPr>
                <w:rFonts w:eastAsia="Arial Unicode MS"/>
              </w:rPr>
            </w:pPr>
          </w:p>
        </w:tc>
      </w:tr>
      <w:tr w:rsidR="00AC07FB" w:rsidRPr="0001649B" w14:paraId="073D2485" w14:textId="77777777" w:rsidTr="2A9278A2">
        <w:tc>
          <w:tcPr>
            <w:tcW w:w="998" w:type="dxa"/>
            <w:shd w:val="clear" w:color="auto" w:fill="E0E0E0"/>
            <w:noWrap/>
            <w:vAlign w:val="center"/>
          </w:tcPr>
          <w:p w14:paraId="54963BF4" w14:textId="77777777" w:rsidR="00AC07FB" w:rsidRPr="0001649B" w:rsidRDefault="2A9278A2" w:rsidP="00504A09">
            <w:pPr>
              <w:pStyle w:val="TableText"/>
            </w:pPr>
            <w:r>
              <w:t>5C1bvi</w:t>
            </w:r>
          </w:p>
        </w:tc>
        <w:tc>
          <w:tcPr>
            <w:tcW w:w="3543" w:type="dxa"/>
            <w:shd w:val="clear" w:color="auto" w:fill="E0E0E0"/>
            <w:vAlign w:val="center"/>
          </w:tcPr>
          <w:p w14:paraId="2286DDD4" w14:textId="77777777" w:rsidR="00AC07FB" w:rsidRPr="0001649B" w:rsidRDefault="2A9278A2" w:rsidP="00504A09">
            <w:pPr>
              <w:pStyle w:val="TableText"/>
            </w:pPr>
            <w:r>
              <w:t>Other waste incineration</w:t>
            </w:r>
          </w:p>
        </w:tc>
        <w:tc>
          <w:tcPr>
            <w:tcW w:w="993" w:type="dxa"/>
          </w:tcPr>
          <w:p w14:paraId="2AF8CDDB" w14:textId="77777777" w:rsidR="00AC07FB" w:rsidRPr="008921E2" w:rsidRDefault="2A9278A2" w:rsidP="2A9278A2">
            <w:pPr>
              <w:pStyle w:val="TableText"/>
              <w:jc w:val="center"/>
              <w:rPr>
                <w:rFonts w:eastAsia="Arial Unicode MS"/>
              </w:rPr>
            </w:pPr>
            <w:r w:rsidRPr="2A9278A2">
              <w:rPr>
                <w:rFonts w:eastAsia="Arial Unicode MS"/>
              </w:rPr>
              <w:t>NO</w:t>
            </w:r>
          </w:p>
        </w:tc>
        <w:tc>
          <w:tcPr>
            <w:tcW w:w="992" w:type="dxa"/>
            <w:vAlign w:val="center"/>
          </w:tcPr>
          <w:p w14:paraId="25FE1B1C" w14:textId="77777777" w:rsidR="00AC07FB" w:rsidRPr="008921E2" w:rsidRDefault="00AC07FB" w:rsidP="00504A09">
            <w:pPr>
              <w:pStyle w:val="TableText"/>
              <w:jc w:val="center"/>
              <w:rPr>
                <w:rFonts w:eastAsia="Arial Unicode MS"/>
              </w:rPr>
            </w:pPr>
          </w:p>
        </w:tc>
        <w:tc>
          <w:tcPr>
            <w:tcW w:w="1701" w:type="dxa"/>
            <w:vAlign w:val="center"/>
          </w:tcPr>
          <w:p w14:paraId="2062BEC4" w14:textId="77777777" w:rsidR="00AC07FB" w:rsidRPr="008921E2" w:rsidRDefault="00AC07FB" w:rsidP="00504A09">
            <w:pPr>
              <w:pStyle w:val="TableText"/>
              <w:jc w:val="center"/>
              <w:rPr>
                <w:rFonts w:eastAsia="Arial Unicode MS"/>
              </w:rPr>
            </w:pPr>
          </w:p>
        </w:tc>
      </w:tr>
      <w:tr w:rsidR="00AC07FB" w:rsidRPr="0001649B" w14:paraId="52993D93" w14:textId="77777777" w:rsidTr="2A9278A2">
        <w:tc>
          <w:tcPr>
            <w:tcW w:w="998" w:type="dxa"/>
            <w:shd w:val="clear" w:color="auto" w:fill="E0E0E0"/>
            <w:noWrap/>
            <w:vAlign w:val="center"/>
          </w:tcPr>
          <w:p w14:paraId="4FAEC873" w14:textId="77777777" w:rsidR="00AC07FB" w:rsidRPr="0001649B" w:rsidRDefault="2A9278A2" w:rsidP="00504A09">
            <w:pPr>
              <w:pStyle w:val="TableText"/>
            </w:pPr>
            <w:r>
              <w:t>5C2</w:t>
            </w:r>
          </w:p>
        </w:tc>
        <w:tc>
          <w:tcPr>
            <w:tcW w:w="3543" w:type="dxa"/>
            <w:shd w:val="clear" w:color="auto" w:fill="E0E0E0"/>
            <w:vAlign w:val="center"/>
          </w:tcPr>
          <w:p w14:paraId="7F4CBE36" w14:textId="77777777" w:rsidR="00AC07FB" w:rsidRPr="0001649B" w:rsidRDefault="2A9278A2" w:rsidP="00504A09">
            <w:pPr>
              <w:pStyle w:val="TableText"/>
            </w:pPr>
            <w:r>
              <w:t>Open burning of waste</w:t>
            </w:r>
          </w:p>
        </w:tc>
        <w:tc>
          <w:tcPr>
            <w:tcW w:w="993" w:type="dxa"/>
            <w:vAlign w:val="center"/>
          </w:tcPr>
          <w:p w14:paraId="3E2A2709" w14:textId="77777777" w:rsidR="00AC07FB" w:rsidRPr="008921E2" w:rsidRDefault="2A9278A2" w:rsidP="2A9278A2">
            <w:pPr>
              <w:pStyle w:val="TableText"/>
              <w:jc w:val="center"/>
              <w:rPr>
                <w:rFonts w:eastAsia="Arial Unicode MS"/>
              </w:rPr>
            </w:pPr>
            <w:r w:rsidRPr="2A9278A2">
              <w:rPr>
                <w:rFonts w:eastAsia="Arial Unicode MS"/>
              </w:rPr>
              <w:t>NE</w:t>
            </w:r>
          </w:p>
        </w:tc>
        <w:tc>
          <w:tcPr>
            <w:tcW w:w="992" w:type="dxa"/>
            <w:vAlign w:val="center"/>
          </w:tcPr>
          <w:p w14:paraId="72286333" w14:textId="77777777" w:rsidR="00AC07FB" w:rsidRPr="008921E2" w:rsidRDefault="00AC07FB" w:rsidP="00504A09">
            <w:pPr>
              <w:pStyle w:val="TableText"/>
              <w:jc w:val="center"/>
              <w:rPr>
                <w:rFonts w:eastAsia="Arial Unicode MS"/>
              </w:rPr>
            </w:pPr>
          </w:p>
        </w:tc>
        <w:tc>
          <w:tcPr>
            <w:tcW w:w="1701" w:type="dxa"/>
            <w:vAlign w:val="center"/>
          </w:tcPr>
          <w:p w14:paraId="1272A10D" w14:textId="77777777" w:rsidR="00AC07FB" w:rsidRPr="008921E2" w:rsidRDefault="00AC07FB" w:rsidP="00504A09">
            <w:pPr>
              <w:pStyle w:val="TableText"/>
              <w:jc w:val="center"/>
              <w:rPr>
                <w:rFonts w:eastAsia="Arial Unicode MS"/>
              </w:rPr>
            </w:pPr>
          </w:p>
        </w:tc>
      </w:tr>
      <w:tr w:rsidR="00AC07FB" w:rsidRPr="0001649B" w14:paraId="53681E98" w14:textId="77777777" w:rsidTr="2A9278A2">
        <w:tc>
          <w:tcPr>
            <w:tcW w:w="998" w:type="dxa"/>
            <w:shd w:val="clear" w:color="auto" w:fill="E0E0E0"/>
            <w:noWrap/>
            <w:vAlign w:val="center"/>
          </w:tcPr>
          <w:p w14:paraId="5BDBFFAD" w14:textId="77777777" w:rsidR="00AC07FB" w:rsidRPr="0001649B" w:rsidRDefault="2A9278A2" w:rsidP="00504A09">
            <w:pPr>
              <w:pStyle w:val="TableText"/>
            </w:pPr>
            <w:r>
              <w:t>5D1</w:t>
            </w:r>
          </w:p>
        </w:tc>
        <w:tc>
          <w:tcPr>
            <w:tcW w:w="3543" w:type="dxa"/>
            <w:shd w:val="clear" w:color="auto" w:fill="E0E0E0"/>
            <w:vAlign w:val="center"/>
          </w:tcPr>
          <w:p w14:paraId="21EC706F" w14:textId="77777777" w:rsidR="00AC07FB" w:rsidRPr="0001649B" w:rsidRDefault="2A9278A2" w:rsidP="00504A09">
            <w:pPr>
              <w:pStyle w:val="TableText"/>
            </w:pPr>
            <w:r>
              <w:t>Domestic wastewater handling</w:t>
            </w:r>
          </w:p>
        </w:tc>
        <w:tc>
          <w:tcPr>
            <w:tcW w:w="993" w:type="dxa"/>
          </w:tcPr>
          <w:p w14:paraId="06A20AF9" w14:textId="77777777" w:rsidR="00AC07FB" w:rsidRPr="008921E2" w:rsidRDefault="2A9278A2" w:rsidP="2A9278A2">
            <w:pPr>
              <w:pStyle w:val="TableText"/>
              <w:jc w:val="center"/>
              <w:rPr>
                <w:rFonts w:eastAsia="Arial Unicode MS"/>
              </w:rPr>
            </w:pPr>
            <w:r w:rsidRPr="2A9278A2">
              <w:rPr>
                <w:rFonts w:eastAsia="Arial Unicode MS"/>
              </w:rPr>
              <w:t>NE</w:t>
            </w:r>
          </w:p>
        </w:tc>
        <w:tc>
          <w:tcPr>
            <w:tcW w:w="992" w:type="dxa"/>
            <w:vAlign w:val="center"/>
          </w:tcPr>
          <w:p w14:paraId="118BB239" w14:textId="77777777" w:rsidR="00AC07FB" w:rsidRPr="008921E2" w:rsidRDefault="00AC07FB" w:rsidP="00504A09">
            <w:pPr>
              <w:pStyle w:val="TableText"/>
              <w:jc w:val="center"/>
              <w:rPr>
                <w:rFonts w:eastAsia="Arial Unicode MS"/>
              </w:rPr>
            </w:pPr>
          </w:p>
        </w:tc>
        <w:tc>
          <w:tcPr>
            <w:tcW w:w="1701" w:type="dxa"/>
            <w:vAlign w:val="center"/>
          </w:tcPr>
          <w:p w14:paraId="3740FE4A" w14:textId="77777777" w:rsidR="00AC07FB" w:rsidRPr="008921E2" w:rsidRDefault="2A9278A2" w:rsidP="2A9278A2">
            <w:pPr>
              <w:pStyle w:val="TableText"/>
              <w:jc w:val="center"/>
              <w:rPr>
                <w:rFonts w:eastAsia="Arial Unicode MS"/>
              </w:rPr>
            </w:pPr>
            <w:r w:rsidRPr="2A9278A2">
              <w:rPr>
                <w:rFonts w:eastAsia="Arial Unicode MS"/>
              </w:rPr>
              <w:t>x</w:t>
            </w:r>
          </w:p>
        </w:tc>
      </w:tr>
      <w:tr w:rsidR="00AC07FB" w:rsidRPr="0001649B" w14:paraId="6406E95C" w14:textId="77777777" w:rsidTr="2A9278A2">
        <w:tc>
          <w:tcPr>
            <w:tcW w:w="998" w:type="dxa"/>
            <w:shd w:val="clear" w:color="auto" w:fill="E0E0E0"/>
            <w:noWrap/>
            <w:vAlign w:val="center"/>
          </w:tcPr>
          <w:p w14:paraId="5C6A9285" w14:textId="77777777" w:rsidR="00AC07FB" w:rsidRPr="0001649B" w:rsidRDefault="2A9278A2" w:rsidP="00504A09">
            <w:pPr>
              <w:pStyle w:val="TableText"/>
            </w:pPr>
            <w:r>
              <w:t>5D2</w:t>
            </w:r>
          </w:p>
        </w:tc>
        <w:tc>
          <w:tcPr>
            <w:tcW w:w="3543" w:type="dxa"/>
            <w:shd w:val="clear" w:color="auto" w:fill="E0E0E0"/>
            <w:vAlign w:val="center"/>
          </w:tcPr>
          <w:p w14:paraId="7F83E855" w14:textId="77777777" w:rsidR="00AC07FB" w:rsidRPr="0001649B" w:rsidRDefault="2A9278A2" w:rsidP="00504A09">
            <w:pPr>
              <w:pStyle w:val="TableText"/>
            </w:pPr>
            <w:r>
              <w:t>Industrial wastewater handling</w:t>
            </w:r>
          </w:p>
        </w:tc>
        <w:tc>
          <w:tcPr>
            <w:tcW w:w="993" w:type="dxa"/>
          </w:tcPr>
          <w:p w14:paraId="0274F3ED" w14:textId="77777777" w:rsidR="00AC07FB" w:rsidRPr="008921E2" w:rsidRDefault="2A9278A2" w:rsidP="2A9278A2">
            <w:pPr>
              <w:pStyle w:val="TableText"/>
              <w:jc w:val="center"/>
              <w:rPr>
                <w:rFonts w:eastAsia="Arial Unicode MS"/>
              </w:rPr>
            </w:pPr>
            <w:r w:rsidRPr="2A9278A2">
              <w:rPr>
                <w:rFonts w:eastAsia="Arial Unicode MS"/>
              </w:rPr>
              <w:t>NE</w:t>
            </w:r>
          </w:p>
        </w:tc>
        <w:tc>
          <w:tcPr>
            <w:tcW w:w="992" w:type="dxa"/>
            <w:vAlign w:val="center"/>
          </w:tcPr>
          <w:p w14:paraId="5BBE8611" w14:textId="77777777" w:rsidR="00AC07FB" w:rsidRPr="008921E2" w:rsidRDefault="00AC07FB" w:rsidP="00504A09">
            <w:pPr>
              <w:pStyle w:val="TableText"/>
              <w:jc w:val="center"/>
              <w:rPr>
                <w:rFonts w:eastAsia="Arial Unicode MS"/>
              </w:rPr>
            </w:pPr>
          </w:p>
        </w:tc>
        <w:tc>
          <w:tcPr>
            <w:tcW w:w="1701" w:type="dxa"/>
            <w:vAlign w:val="center"/>
          </w:tcPr>
          <w:p w14:paraId="372A1225" w14:textId="77777777" w:rsidR="00AC07FB" w:rsidRPr="008921E2" w:rsidRDefault="00AC07FB" w:rsidP="00504A09">
            <w:pPr>
              <w:pStyle w:val="TableText"/>
              <w:jc w:val="center"/>
              <w:rPr>
                <w:rFonts w:eastAsia="Arial Unicode MS"/>
              </w:rPr>
            </w:pPr>
          </w:p>
        </w:tc>
      </w:tr>
      <w:tr w:rsidR="00AC07FB" w:rsidRPr="0001649B" w14:paraId="4E843A7B" w14:textId="77777777" w:rsidTr="2A9278A2">
        <w:tc>
          <w:tcPr>
            <w:tcW w:w="998" w:type="dxa"/>
            <w:shd w:val="clear" w:color="auto" w:fill="E0E0E0"/>
            <w:noWrap/>
            <w:vAlign w:val="center"/>
          </w:tcPr>
          <w:p w14:paraId="7833590B" w14:textId="77777777" w:rsidR="00AC07FB" w:rsidRPr="0001649B" w:rsidRDefault="2A9278A2" w:rsidP="00504A09">
            <w:pPr>
              <w:pStyle w:val="TableText"/>
            </w:pPr>
            <w:r>
              <w:t>5D3</w:t>
            </w:r>
          </w:p>
        </w:tc>
        <w:tc>
          <w:tcPr>
            <w:tcW w:w="3543" w:type="dxa"/>
            <w:shd w:val="clear" w:color="auto" w:fill="E0E0E0"/>
            <w:vAlign w:val="center"/>
          </w:tcPr>
          <w:p w14:paraId="64EBE70A" w14:textId="77777777" w:rsidR="00AC07FB" w:rsidRPr="0001649B" w:rsidRDefault="2A9278A2" w:rsidP="00504A09">
            <w:pPr>
              <w:pStyle w:val="TableText"/>
            </w:pPr>
            <w:r>
              <w:t>Other wastewater handling</w:t>
            </w:r>
          </w:p>
        </w:tc>
        <w:tc>
          <w:tcPr>
            <w:tcW w:w="993" w:type="dxa"/>
          </w:tcPr>
          <w:p w14:paraId="490B6823" w14:textId="77777777" w:rsidR="00AC07FB" w:rsidRPr="008921E2" w:rsidRDefault="2A9278A2" w:rsidP="2A9278A2">
            <w:pPr>
              <w:pStyle w:val="TableText"/>
              <w:jc w:val="center"/>
              <w:rPr>
                <w:rFonts w:eastAsia="Arial Unicode MS"/>
              </w:rPr>
            </w:pPr>
            <w:r w:rsidRPr="2A9278A2">
              <w:rPr>
                <w:rFonts w:eastAsia="Arial Unicode MS"/>
              </w:rPr>
              <w:t>NO</w:t>
            </w:r>
          </w:p>
        </w:tc>
        <w:tc>
          <w:tcPr>
            <w:tcW w:w="992" w:type="dxa"/>
            <w:vAlign w:val="center"/>
          </w:tcPr>
          <w:p w14:paraId="55A6EA12" w14:textId="77777777" w:rsidR="00AC07FB" w:rsidRPr="008921E2" w:rsidRDefault="00AC07FB" w:rsidP="00504A09">
            <w:pPr>
              <w:pStyle w:val="TableText"/>
              <w:jc w:val="center"/>
              <w:rPr>
                <w:rFonts w:eastAsia="Arial Unicode MS"/>
              </w:rPr>
            </w:pPr>
          </w:p>
        </w:tc>
        <w:tc>
          <w:tcPr>
            <w:tcW w:w="1701" w:type="dxa"/>
            <w:vAlign w:val="center"/>
          </w:tcPr>
          <w:p w14:paraId="7F6E88D4" w14:textId="77777777" w:rsidR="00AC07FB" w:rsidRPr="008921E2" w:rsidRDefault="00AC07FB" w:rsidP="00504A09">
            <w:pPr>
              <w:pStyle w:val="TableText"/>
              <w:jc w:val="center"/>
              <w:rPr>
                <w:rFonts w:eastAsia="Arial Unicode MS"/>
              </w:rPr>
            </w:pPr>
          </w:p>
        </w:tc>
      </w:tr>
      <w:tr w:rsidR="00AC07FB" w:rsidRPr="0001649B" w14:paraId="72E9CE0D" w14:textId="77777777" w:rsidTr="2A9278A2">
        <w:tc>
          <w:tcPr>
            <w:tcW w:w="998" w:type="dxa"/>
            <w:shd w:val="clear" w:color="auto" w:fill="E0E0E0"/>
            <w:noWrap/>
            <w:vAlign w:val="center"/>
          </w:tcPr>
          <w:p w14:paraId="41C45820" w14:textId="77777777" w:rsidR="00AC07FB" w:rsidRPr="0001649B" w:rsidRDefault="2A9278A2" w:rsidP="00504A09">
            <w:pPr>
              <w:pStyle w:val="TableText"/>
            </w:pPr>
            <w:r>
              <w:t>5E</w:t>
            </w:r>
          </w:p>
        </w:tc>
        <w:tc>
          <w:tcPr>
            <w:tcW w:w="3543" w:type="dxa"/>
            <w:shd w:val="clear" w:color="auto" w:fill="E0E0E0"/>
            <w:vAlign w:val="center"/>
          </w:tcPr>
          <w:p w14:paraId="24759C7E" w14:textId="77777777" w:rsidR="00AC07FB" w:rsidRPr="0001649B" w:rsidRDefault="2A9278A2" w:rsidP="00504A09">
            <w:pPr>
              <w:pStyle w:val="TableText"/>
            </w:pPr>
            <w:r>
              <w:t>Other waste</w:t>
            </w:r>
          </w:p>
        </w:tc>
        <w:tc>
          <w:tcPr>
            <w:tcW w:w="993" w:type="dxa"/>
            <w:vAlign w:val="center"/>
          </w:tcPr>
          <w:p w14:paraId="4F015195" w14:textId="77777777" w:rsidR="00AC07FB" w:rsidRPr="008921E2" w:rsidRDefault="2A9278A2" w:rsidP="2A9278A2">
            <w:pPr>
              <w:pStyle w:val="TableText"/>
              <w:jc w:val="center"/>
              <w:rPr>
                <w:rFonts w:eastAsia="Arial Unicode MS"/>
              </w:rPr>
            </w:pPr>
            <w:r w:rsidRPr="2A9278A2">
              <w:rPr>
                <w:rFonts w:eastAsia="Arial Unicode MS"/>
              </w:rPr>
              <w:t>NO</w:t>
            </w:r>
          </w:p>
        </w:tc>
        <w:tc>
          <w:tcPr>
            <w:tcW w:w="992" w:type="dxa"/>
            <w:vAlign w:val="center"/>
          </w:tcPr>
          <w:p w14:paraId="00A3A9BC" w14:textId="77777777" w:rsidR="00AC07FB" w:rsidRPr="008921E2" w:rsidRDefault="00AC07FB" w:rsidP="00504A09">
            <w:pPr>
              <w:pStyle w:val="TableText"/>
              <w:jc w:val="center"/>
              <w:rPr>
                <w:rFonts w:eastAsia="Arial Unicode MS"/>
              </w:rPr>
            </w:pPr>
          </w:p>
        </w:tc>
        <w:tc>
          <w:tcPr>
            <w:tcW w:w="1701" w:type="dxa"/>
            <w:vAlign w:val="center"/>
          </w:tcPr>
          <w:p w14:paraId="21B3344A" w14:textId="77777777" w:rsidR="00AC07FB" w:rsidRPr="008921E2" w:rsidRDefault="00AC07FB" w:rsidP="00504A09">
            <w:pPr>
              <w:pStyle w:val="TableText"/>
              <w:jc w:val="center"/>
              <w:rPr>
                <w:rFonts w:eastAsia="Arial Unicode MS"/>
              </w:rPr>
            </w:pPr>
          </w:p>
        </w:tc>
      </w:tr>
      <w:tr w:rsidR="00AC07FB" w:rsidRPr="0001649B" w14:paraId="2FBE931F" w14:textId="77777777" w:rsidTr="2A9278A2">
        <w:tc>
          <w:tcPr>
            <w:tcW w:w="8227" w:type="dxa"/>
            <w:gridSpan w:val="5"/>
            <w:shd w:val="clear" w:color="auto" w:fill="E0E0E0"/>
            <w:noWrap/>
            <w:vAlign w:val="bottom"/>
          </w:tcPr>
          <w:p w14:paraId="0E92C5E5" w14:textId="77777777" w:rsidR="00AC07FB" w:rsidRPr="0001649B" w:rsidRDefault="2A9278A2" w:rsidP="2A9278A2">
            <w:pPr>
              <w:pStyle w:val="TableText"/>
              <w:rPr>
                <w:rFonts w:eastAsia="Arial Unicode MS"/>
              </w:rPr>
            </w:pPr>
            <w:r>
              <w:t>Note: Where a sector has been partially reviewed (e.g. some of the NFR codes please indicate which have and which have not in the respective columns.</w:t>
            </w:r>
          </w:p>
        </w:tc>
      </w:tr>
    </w:tbl>
    <w:p w14:paraId="3D1ED731" w14:textId="77777777" w:rsidR="00AC07FB" w:rsidRPr="00DD1026" w:rsidRDefault="2A9278A2" w:rsidP="00AC07FB">
      <w:pPr>
        <w:pStyle w:val="berschrift4"/>
      </w:pPr>
      <w:r>
        <w:t>General recommendations on cross cutting issues</w:t>
      </w:r>
    </w:p>
    <w:p w14:paraId="19A2190C" w14:textId="77777777" w:rsidR="00AC07FB" w:rsidRPr="002D4DBA" w:rsidRDefault="2A9278A2" w:rsidP="00632720">
      <w:pPr>
        <w:pStyle w:val="berschrift5"/>
      </w:pPr>
      <w:r>
        <w:t>Transparency</w:t>
      </w:r>
    </w:p>
    <w:p w14:paraId="5C2010B1" w14:textId="570F3D25" w:rsidR="00AC07FB" w:rsidRPr="008A4EC6" w:rsidRDefault="00CC0D58" w:rsidP="007F5740">
      <w:pPr>
        <w:pStyle w:val="RegPara"/>
      </w:pPr>
      <w:r>
        <w:t>Montenegro</w:t>
      </w:r>
      <w:r w:rsidR="2A9278A2">
        <w:t xml:space="preserve"> have provided a generally transparent emissions inventory. </w:t>
      </w:r>
      <w:r>
        <w:t xml:space="preserve">The </w:t>
      </w:r>
      <w:r w:rsidR="2A9278A2" w:rsidRPr="00CC0D58">
        <w:t>Party’s methodology and emission factors in the IIR are considered by the ERT to be</w:t>
      </w:r>
      <w:r w:rsidR="2A9278A2">
        <w:t xml:space="preserve"> transparent and well described for the waste </w:t>
      </w:r>
      <w:r>
        <w:t>s</w:t>
      </w:r>
      <w:r w:rsidR="2A9278A2">
        <w:t xml:space="preserve">ector. However, in a few cases information in the IIR were not updated in the latest submission (see sub-sector specific recommendations below). The ERT recommends that </w:t>
      </w:r>
      <w:r>
        <w:t>Montenegro</w:t>
      </w:r>
      <w:r w:rsidR="2A9278A2">
        <w:t xml:space="preserve"> ensures that the information in the IIR is kept up-to-date in the next submission. </w:t>
      </w:r>
    </w:p>
    <w:p w14:paraId="552D420C" w14:textId="77777777" w:rsidR="00AC07FB" w:rsidRDefault="2A9278A2" w:rsidP="00632720">
      <w:pPr>
        <w:pStyle w:val="berschrift5"/>
      </w:pPr>
      <w:r>
        <w:t>Completeness</w:t>
      </w:r>
    </w:p>
    <w:p w14:paraId="2572C903" w14:textId="28701DCF" w:rsidR="00AC07FB" w:rsidRPr="008A4EC6" w:rsidRDefault="2A9278A2" w:rsidP="007F5740">
      <w:pPr>
        <w:pStyle w:val="RegPara"/>
      </w:pPr>
      <w:r>
        <w:t xml:space="preserve">The ERT consider the </w:t>
      </w:r>
      <w:r w:rsidR="00CC0D58">
        <w:t>w</w:t>
      </w:r>
      <w:r>
        <w:t xml:space="preserve">aste sector to be incomplete. E.g. </w:t>
      </w:r>
      <w:r w:rsidR="00CC0D58">
        <w:t>Montenegro</w:t>
      </w:r>
      <w:r>
        <w:t xml:space="preserve"> indicated that emissions occur, but that no emissions were estimated due to lack of resources and data, for the following categories: </w:t>
      </w:r>
    </w:p>
    <w:p w14:paraId="3F962CC4" w14:textId="77777777" w:rsidR="00AC07FB" w:rsidRPr="008A4EC6" w:rsidRDefault="2A9278A2" w:rsidP="00402F45">
      <w:pPr>
        <w:pStyle w:val="RegPara"/>
        <w:numPr>
          <w:ilvl w:val="0"/>
          <w:numId w:val="5"/>
        </w:numPr>
        <w:spacing w:before="0" w:after="60"/>
        <w:ind w:left="782" w:hanging="357"/>
      </w:pPr>
      <w:r>
        <w:t>Biological treatment of waste - Composting (5.B.1)</w:t>
      </w:r>
    </w:p>
    <w:p w14:paraId="7F402946" w14:textId="77777777" w:rsidR="00AC07FB" w:rsidRPr="008A4EC6" w:rsidRDefault="2A9278A2" w:rsidP="00402F45">
      <w:pPr>
        <w:pStyle w:val="RegPara"/>
        <w:numPr>
          <w:ilvl w:val="0"/>
          <w:numId w:val="5"/>
        </w:numPr>
        <w:spacing w:after="60"/>
        <w:ind w:left="782" w:hanging="357"/>
      </w:pPr>
      <w:r>
        <w:t>Industrial waste incineration (5.C.1.b.i)</w:t>
      </w:r>
    </w:p>
    <w:p w14:paraId="5B7C6CF9" w14:textId="77777777" w:rsidR="00AC07FB" w:rsidRPr="008A4EC6" w:rsidRDefault="2A9278A2" w:rsidP="00402F45">
      <w:pPr>
        <w:pStyle w:val="RegPara"/>
        <w:numPr>
          <w:ilvl w:val="0"/>
          <w:numId w:val="5"/>
        </w:numPr>
        <w:spacing w:after="60"/>
        <w:ind w:left="782" w:hanging="357"/>
      </w:pPr>
      <w:r>
        <w:t>Clinical waste incineration (5.C.1.b.iii)</w:t>
      </w:r>
    </w:p>
    <w:p w14:paraId="4F6D60C0" w14:textId="77777777" w:rsidR="00AC07FB" w:rsidRPr="008A4EC6" w:rsidRDefault="2A9278A2" w:rsidP="00402F45">
      <w:pPr>
        <w:pStyle w:val="RegPara"/>
        <w:numPr>
          <w:ilvl w:val="0"/>
          <w:numId w:val="5"/>
        </w:numPr>
        <w:spacing w:after="60"/>
        <w:ind w:left="782" w:hanging="357"/>
      </w:pPr>
      <w:r>
        <w:t>Open burning of waste (5.C.2)</w:t>
      </w:r>
    </w:p>
    <w:p w14:paraId="32258CDA" w14:textId="77777777" w:rsidR="00AC07FB" w:rsidRPr="008A4EC6" w:rsidRDefault="2A9278A2" w:rsidP="00402F45">
      <w:pPr>
        <w:pStyle w:val="RegPara"/>
        <w:numPr>
          <w:ilvl w:val="0"/>
          <w:numId w:val="5"/>
        </w:numPr>
        <w:spacing w:after="60"/>
        <w:ind w:left="782" w:hanging="357"/>
      </w:pPr>
      <w:r>
        <w:t>Domestic wastewater handling (5.D.1)</w:t>
      </w:r>
    </w:p>
    <w:p w14:paraId="65995EA2" w14:textId="77777777" w:rsidR="00AC07FB" w:rsidRPr="008A4EC6" w:rsidRDefault="2A9278A2" w:rsidP="00402F45">
      <w:pPr>
        <w:pStyle w:val="RegPara"/>
        <w:numPr>
          <w:ilvl w:val="0"/>
          <w:numId w:val="5"/>
        </w:numPr>
        <w:spacing w:after="60"/>
        <w:ind w:left="782" w:hanging="357"/>
      </w:pPr>
      <w:r>
        <w:t>Industrial wastewater handling (5.D.2)</w:t>
      </w:r>
    </w:p>
    <w:p w14:paraId="47D06C14" w14:textId="60FD9156" w:rsidR="00AC07FB" w:rsidRPr="008A4EC6" w:rsidRDefault="2A9278A2" w:rsidP="007F5740">
      <w:pPr>
        <w:pStyle w:val="RegPara"/>
        <w:numPr>
          <w:ilvl w:val="0"/>
          <w:numId w:val="0"/>
        </w:numPr>
      </w:pPr>
      <w:r>
        <w:lastRenderedPageBreak/>
        <w:t xml:space="preserve">The ERT recommends that </w:t>
      </w:r>
      <w:r w:rsidR="00CC0D58">
        <w:t>Montenegro</w:t>
      </w:r>
      <w:r>
        <w:t xml:space="preserve"> consult the 2019 </w:t>
      </w:r>
      <w:r w:rsidR="00CC0D58">
        <w:t>EMEP/EEA Guidebook</w:t>
      </w:r>
      <w:r>
        <w:t xml:space="preserve"> on methods and EFs and make efforts to estimates emissions from the abovementioned categories. </w:t>
      </w:r>
    </w:p>
    <w:p w14:paraId="21CF2571" w14:textId="77777777" w:rsidR="00AC07FB" w:rsidRPr="00D85304" w:rsidRDefault="00AC07FB" w:rsidP="00632720">
      <w:pPr>
        <w:pStyle w:val="berschrift5"/>
      </w:pPr>
      <w:r>
        <w:t>Consistency, including recalculation and time series</w:t>
      </w:r>
    </w:p>
    <w:p w14:paraId="3FF30955" w14:textId="3FF92917" w:rsidR="00AC07FB" w:rsidRPr="00BF3555" w:rsidRDefault="00CC0D58" w:rsidP="007F5740">
      <w:pPr>
        <w:pStyle w:val="RegPara"/>
      </w:pPr>
      <w:r>
        <w:t>Montenegro</w:t>
      </w:r>
      <w:r w:rsidR="2A9278A2">
        <w:t xml:space="preserve"> has recalculated NMVOC and particle emissions from 5A </w:t>
      </w:r>
      <w:r>
        <w:t xml:space="preserve">for </w:t>
      </w:r>
      <w:r w:rsidR="2A9278A2">
        <w:t xml:space="preserve">2018 and NMVOC emissions from 5D1 </w:t>
      </w:r>
      <w:r>
        <w:t xml:space="preserve">for </w:t>
      </w:r>
      <w:r w:rsidR="2A9278A2">
        <w:t xml:space="preserve">1990-2018. Some explanations are provided in the IIR for recalculations of 5A but no information is provided about the NMOVC emissions from 5D1. The ERT </w:t>
      </w:r>
      <w:r>
        <w:t>recommends</w:t>
      </w:r>
      <w:r w:rsidR="2A9278A2">
        <w:t xml:space="preserve"> </w:t>
      </w:r>
      <w:r>
        <w:t xml:space="preserve">Montenegro </w:t>
      </w:r>
      <w:r w:rsidR="2A9278A2">
        <w:t>to provide more detailed explanation of recalculations, including the rational, the impact on the sector and implication to trends for the waste sector in its IIR.</w:t>
      </w:r>
    </w:p>
    <w:p w14:paraId="69B9CD54" w14:textId="77777777" w:rsidR="00AC07FB" w:rsidRDefault="00AC07FB" w:rsidP="00632720">
      <w:pPr>
        <w:pStyle w:val="berschrift5"/>
        <w:rPr>
          <w:color w:val="365F91"/>
        </w:rPr>
      </w:pPr>
      <w:r>
        <w:t>Comparability</w:t>
      </w:r>
    </w:p>
    <w:p w14:paraId="12D3B907" w14:textId="53C48843" w:rsidR="00A940A7" w:rsidRPr="002D4DBA" w:rsidRDefault="00352F75" w:rsidP="007F5740">
      <w:pPr>
        <w:pStyle w:val="RegPara"/>
      </w:pPr>
      <w:r w:rsidRPr="00140C7C">
        <w:t xml:space="preserve">Montenegro did not provide updated information on methods and EF used in the IIR. During the review, Montenegro explained what methods and EF from 2019 EMEP/EEA Guidebook were used. However, the ERT noted several discrepancies between information in IIR and EMEP/EEA Guidebook (see sub-sector specific recommendations below). The ERT recommends Montenegro to ensure that updated information on methods and EF used are provided in the IIR of the next submission. </w:t>
      </w:r>
    </w:p>
    <w:p w14:paraId="52D63112" w14:textId="77777777" w:rsidR="00AC07FB" w:rsidRPr="002D4DBA" w:rsidRDefault="00AC07FB" w:rsidP="00632720">
      <w:pPr>
        <w:pStyle w:val="berschrift5"/>
      </w:pPr>
      <w:r>
        <w:t>Accuracy and uncertainties</w:t>
      </w:r>
    </w:p>
    <w:p w14:paraId="7886DF8E" w14:textId="6DE44B7E" w:rsidR="00AC07FB" w:rsidRPr="008C0E3C" w:rsidRDefault="2A9278A2" w:rsidP="007F5740">
      <w:pPr>
        <w:pStyle w:val="RegPara"/>
        <w:rPr>
          <w:b/>
          <w:bCs/>
        </w:rPr>
      </w:pPr>
      <w:r>
        <w:t xml:space="preserve">The ERT encourages </w:t>
      </w:r>
      <w:r w:rsidR="00CC0D58">
        <w:t>Montenegro</w:t>
      </w:r>
      <w:r>
        <w:t xml:space="preserve"> to undertake uncertainty analysis for the waste </w:t>
      </w:r>
      <w:r w:rsidR="00CC0D58">
        <w:t>s</w:t>
      </w:r>
      <w:r>
        <w:t>ector to help inform the improvement process and to provide an indication of the reliability of the inventory data.</w:t>
      </w:r>
    </w:p>
    <w:p w14:paraId="693B4A56" w14:textId="63DCF6B9" w:rsidR="00AC07FB" w:rsidRPr="00901CA5" w:rsidRDefault="2A9278A2" w:rsidP="007F5740">
      <w:pPr>
        <w:pStyle w:val="RegPara"/>
        <w:rPr>
          <w:b/>
          <w:bCs/>
        </w:rPr>
      </w:pPr>
      <w:r>
        <w:t xml:space="preserve">In its IIR (p. 376), the Party refers to general QA/QC checks. However, the ERT noted that several errors occurred in the waste sector and that the information in the IIR was not updated in some cases. The ERT encourages </w:t>
      </w:r>
      <w:r w:rsidR="00CC0D58">
        <w:t>Montenegro</w:t>
      </w:r>
      <w:r>
        <w:t xml:space="preserve"> to implement sector specific OA/QC procedures to ensure accurate emission estimations and that the IIR is update</w:t>
      </w:r>
      <w:r w:rsidR="00CC0D58">
        <w:t>d</w:t>
      </w:r>
      <w:r>
        <w:t xml:space="preserve"> in the next submission. </w:t>
      </w:r>
    </w:p>
    <w:p w14:paraId="229FB9E8" w14:textId="2EF1FC5D" w:rsidR="00AC07FB" w:rsidRPr="004433D1" w:rsidRDefault="2A9278A2" w:rsidP="00632720">
      <w:pPr>
        <w:pStyle w:val="berschrift5"/>
        <w:rPr>
          <w:color w:val="365F91"/>
        </w:rPr>
      </w:pPr>
      <w:r>
        <w:t>Condensable</w:t>
      </w:r>
    </w:p>
    <w:p w14:paraId="2DBE0A39" w14:textId="5AE06CC3" w:rsidR="00AC07FB" w:rsidRPr="002D4DBA" w:rsidRDefault="00352F75" w:rsidP="007F5740">
      <w:pPr>
        <w:pStyle w:val="RegPara"/>
      </w:pPr>
      <w:r w:rsidRPr="00140C7C">
        <w:t>The Party did not provide explicit information on condensable component of PM for categories. However, the Montenegro uses default 2019 EMEP/EEA Guidebook. The ERT recommends Montenegro to include explicit information on condensable components of PM in the next submission.</w:t>
      </w:r>
    </w:p>
    <w:p w14:paraId="6E9AE799" w14:textId="77777777" w:rsidR="00AC07FB" w:rsidRPr="002D4DBA" w:rsidRDefault="2A9278A2" w:rsidP="00632720">
      <w:pPr>
        <w:pStyle w:val="berschrift5"/>
      </w:pPr>
      <w:r>
        <w:t>Improvement</w:t>
      </w:r>
    </w:p>
    <w:p w14:paraId="583D3807" w14:textId="38DD2DA5" w:rsidR="00AC07FB" w:rsidRPr="00BA7E71" w:rsidRDefault="2A9278A2" w:rsidP="007F5740">
      <w:pPr>
        <w:pStyle w:val="RegPara"/>
      </w:pPr>
      <w:r>
        <w:t xml:space="preserve">In its IIR (pages 379-380) the Party states that it is planning to develop emission inventories for NFR 5.C.2 Open burning of waste and NFR 5.D.2 Industrial wastewater handling. During the review, </w:t>
      </w:r>
      <w:r w:rsidR="001E7C33">
        <w:t>Montenegro</w:t>
      </w:r>
      <w:r>
        <w:t xml:space="preserve"> explained that there is currently a twinning light project in Montenegro starting, which focusses on the improvement and completeness of</w:t>
      </w:r>
      <w:r w:rsidR="001E7C33">
        <w:t xml:space="preserve"> the</w:t>
      </w:r>
      <w:r>
        <w:t xml:space="preserve"> inventory to fulfil the T</w:t>
      </w:r>
      <w:r w:rsidR="001E7C33">
        <w:t>CCCA</w:t>
      </w:r>
      <w:r>
        <w:t xml:space="preserve"> criteria. Issues </w:t>
      </w:r>
      <w:r w:rsidR="001E7C33">
        <w:t xml:space="preserve">such </w:t>
      </w:r>
      <w:r>
        <w:t>higher Tier</w:t>
      </w:r>
      <w:r w:rsidR="001E7C33">
        <w:t xml:space="preserve"> methodology</w:t>
      </w:r>
      <w:r>
        <w:t xml:space="preserve"> for </w:t>
      </w:r>
      <w:r w:rsidR="001E7C33">
        <w:t>k</w:t>
      </w:r>
      <w:r>
        <w:t>ey</w:t>
      </w:r>
      <w:r w:rsidR="001E7C33">
        <w:t xml:space="preserve"> </w:t>
      </w:r>
      <w:r>
        <w:t xml:space="preserve">categories or the </w:t>
      </w:r>
      <w:r w:rsidR="001E7C33">
        <w:t>estimation of emissions</w:t>
      </w:r>
      <w:r>
        <w:t xml:space="preserve"> for missing sources will be addressed within this project. The results will be implemented mainly in submission 2022 and </w:t>
      </w:r>
      <w:r w:rsidR="001E7C33">
        <w:t>the</w:t>
      </w:r>
      <w:r>
        <w:t xml:space="preserve"> latest in submission 2023. </w:t>
      </w:r>
      <w:r w:rsidR="001E7C33">
        <w:t>The Party</w:t>
      </w:r>
      <w:r>
        <w:t xml:space="preserve"> explained that emissions of NFR 5.C.2 Open burning of waste and NFR 5.D.2 Industrial wastewater handling will be estimated during this project; However, for NFR 5.C.2 Open burning of waste, </w:t>
      </w:r>
      <w:r>
        <w:lastRenderedPageBreak/>
        <w:t>discussions with local experts are planned. (</w:t>
      </w:r>
      <w:hyperlink r:id="rId19">
        <w:r w:rsidRPr="2A9278A2">
          <w:rPr>
            <w:rStyle w:val="Hyperlink"/>
          </w:rPr>
          <w:t>http://www.twinplace.eu/MyTwinPlace/Members/InterestDetails.aspx?3926</w:t>
        </w:r>
      </w:hyperlink>
      <w:r>
        <w:t xml:space="preserve">). The ERT commends </w:t>
      </w:r>
      <w:r w:rsidR="001E7C33">
        <w:t>Montenegro</w:t>
      </w:r>
      <w:r>
        <w:t xml:space="preserve"> for its planned improvements and encourages </w:t>
      </w:r>
      <w:r w:rsidR="001E7C33">
        <w:t>Montenegro</w:t>
      </w:r>
      <w:r>
        <w:t xml:space="preserve"> to report on the progress in the next submission. </w:t>
      </w:r>
    </w:p>
    <w:p w14:paraId="3F9B3877" w14:textId="77777777" w:rsidR="00AC07FB" w:rsidRPr="00E216B2" w:rsidRDefault="2A9278A2" w:rsidP="2A9278A2">
      <w:pPr>
        <w:pStyle w:val="berschrift4"/>
      </w:pPr>
      <w:r w:rsidRPr="00E216B2">
        <w:t>Potential Technical Corrections</w:t>
      </w:r>
    </w:p>
    <w:p w14:paraId="40D1F17E" w14:textId="77777777" w:rsidR="00AC07FB" w:rsidRPr="00E216B2" w:rsidRDefault="00AC07FB" w:rsidP="00AC07FB"/>
    <w:p w14:paraId="25C9348F" w14:textId="0EC4374A" w:rsidR="00AC07FB" w:rsidRPr="00270C42" w:rsidRDefault="2A9278A2" w:rsidP="007F5740">
      <w:pPr>
        <w:pStyle w:val="RegPara"/>
      </w:pPr>
      <w:r w:rsidRPr="00E216B2">
        <w:t xml:space="preserve">The ERT </w:t>
      </w:r>
      <w:r w:rsidR="00E216B2" w:rsidRPr="00E216B2">
        <w:t>did not perform any recalculations for the Waste sector.</w:t>
      </w:r>
    </w:p>
    <w:p w14:paraId="32F20820" w14:textId="77777777" w:rsidR="00AC07FB" w:rsidRDefault="2A9278A2" w:rsidP="00AC07FB">
      <w:pPr>
        <w:pStyle w:val="berschrift4"/>
      </w:pPr>
      <w:r>
        <w:t>Sub-Sector Specific Recommendations</w:t>
      </w:r>
    </w:p>
    <w:p w14:paraId="74B6C607" w14:textId="77777777" w:rsidR="00AC07FB" w:rsidRPr="008C0E3C" w:rsidRDefault="2A9278A2" w:rsidP="00632720">
      <w:pPr>
        <w:pStyle w:val="berschrift5"/>
      </w:pPr>
      <w:r>
        <w:t xml:space="preserve">Category issue 1: 5.A.1 </w:t>
      </w:r>
      <w:r w:rsidRPr="2A9278A2">
        <w:rPr>
          <w:i/>
          <w:iCs/>
        </w:rPr>
        <w:t>Landfills</w:t>
      </w:r>
      <w:r>
        <w:t xml:space="preserve"> – TSP, PM10, PM2.5</w:t>
      </w:r>
    </w:p>
    <w:p w14:paraId="22D7E0F9" w14:textId="167290C5" w:rsidR="00AC07FB" w:rsidRDefault="2A9278A2" w:rsidP="007F5740">
      <w:pPr>
        <w:pStyle w:val="RegPara"/>
      </w:pPr>
      <w:r>
        <w:t xml:space="preserve">In its IIR table 6.4 (page 376), the Party provides the EFs used for estimation of NMVOC and Particle emissions from NFR 5A (Biological treatment of waste - Solid waste disposal on land), referring to the </w:t>
      </w:r>
      <w:r w:rsidR="001E7C33">
        <w:t>EMEP/EEA Guidebook</w:t>
      </w:r>
      <w:r>
        <w:t xml:space="preserve"> 2019 Tier 1 factors. However, the ERT noted that the unit used for the particle fractions in table 6.4 are incorrect: kg/Mg waste instead of the Tier 1 factor units of g/Mg waste. The ERT noted that the emission estimations in NFR 5A seem to be correct. During the review, </w:t>
      </w:r>
      <w:r w:rsidR="001E7C33">
        <w:t>Montenegro</w:t>
      </w:r>
      <w:r>
        <w:t xml:space="preserve"> concurred that the information in the IIR </w:t>
      </w:r>
      <w:r w:rsidR="001E7C33">
        <w:t>is</w:t>
      </w:r>
      <w:r>
        <w:t xml:space="preserve"> incorrect and explained that the Party will improve its QA/QC procedures and correct the error in the next submission. The </w:t>
      </w:r>
      <w:r w:rsidR="001E7C33">
        <w:t xml:space="preserve">ERT </w:t>
      </w:r>
      <w:r>
        <w:t>recommends that</w:t>
      </w:r>
      <w:r w:rsidR="001E7C33" w:rsidRPr="001E7C33">
        <w:t xml:space="preserve"> </w:t>
      </w:r>
      <w:r w:rsidR="001E7C33">
        <w:t xml:space="preserve">Montenegro </w:t>
      </w:r>
      <w:r>
        <w:t xml:space="preserve">update the IIR with the correct information in its next submission. </w:t>
      </w:r>
    </w:p>
    <w:p w14:paraId="4EDE6F9F" w14:textId="77777777" w:rsidR="00AC07FB" w:rsidRPr="008C0E3C" w:rsidRDefault="2A9278A2" w:rsidP="00632720">
      <w:pPr>
        <w:pStyle w:val="berschrift5"/>
      </w:pPr>
      <w:r>
        <w:t xml:space="preserve">Category issue 2: 5.D.1 </w:t>
      </w:r>
      <w:r w:rsidRPr="00402F45">
        <w:rPr>
          <w:iCs/>
        </w:rPr>
        <w:t>Landfills</w:t>
      </w:r>
      <w:r w:rsidRPr="00402F45">
        <w:t xml:space="preserve"> </w:t>
      </w:r>
      <w:r>
        <w:t>– NMVOC</w:t>
      </w:r>
    </w:p>
    <w:p w14:paraId="466D0552" w14:textId="480AA4B8" w:rsidR="00AC07FB" w:rsidRDefault="2A9278A2" w:rsidP="007F5740">
      <w:pPr>
        <w:pStyle w:val="RegPara"/>
      </w:pPr>
      <w:r>
        <w:t xml:space="preserve">The ERT noted that the Party reported emissions of NMVOC from Domestic wastewater handling (NFR 5D1) but no AD in its NFR tables. However, in its IIR (page 380) the Party states that currently no emissions were estimated due to lack of resources and data. During the review, </w:t>
      </w:r>
      <w:r w:rsidR="001E7C33">
        <w:t>Montenegro</w:t>
      </w:r>
      <w:r>
        <w:t xml:space="preserve"> provided the information on the applied methodology together with underlying calculations, including AD, data source, and EFs. Further, the Party explained that the information in the IIR will </w:t>
      </w:r>
      <w:r w:rsidR="001E7C33">
        <w:t xml:space="preserve">be </w:t>
      </w:r>
      <w:r>
        <w:t xml:space="preserve">updated in the next submission. However, the ERT noted that the is an error in the underlying revised calculations sheets: unit conversion 10^6 is used instead of 10^9. The ERT recommends </w:t>
      </w:r>
      <w:r w:rsidR="001E7C33">
        <w:t>Montenegro</w:t>
      </w:r>
      <w:r>
        <w:t xml:space="preserve"> to check its NMVOC emission estimates to ensure accurate estimations, to provide AD in the NFR tables and to revise the information provided in the IIR in its next submission.</w:t>
      </w:r>
    </w:p>
    <w:p w14:paraId="56CCC8FD" w14:textId="77777777" w:rsidR="00A8140F" w:rsidRDefault="00945281">
      <w:pPr>
        <w:pStyle w:val="berschrift2"/>
      </w:pPr>
      <w:r>
        <w:br w:type="page"/>
      </w:r>
      <w:bookmarkStart w:id="48" w:name="_Ref198554647"/>
    </w:p>
    <w:p w14:paraId="094775F1" w14:textId="77777777" w:rsidR="00A8140F" w:rsidRDefault="2A9278A2" w:rsidP="00A8140F">
      <w:pPr>
        <w:pStyle w:val="berschrift2"/>
      </w:pPr>
      <w:bookmarkStart w:id="49" w:name="_Toc79490438"/>
      <w:r>
        <w:lastRenderedPageBreak/>
        <w:t>List of materials provided to ERT</w:t>
      </w:r>
      <w:bookmarkEnd w:id="49"/>
      <w:r>
        <w:t xml:space="preserve"> </w:t>
      </w:r>
    </w:p>
    <w:p w14:paraId="131D27C2" w14:textId="77777777" w:rsidR="00A8140F" w:rsidRPr="00487EA8" w:rsidRDefault="00A8140F" w:rsidP="00A8140F">
      <w:pPr>
        <w:rPr>
          <w:sz w:val="22"/>
          <w:szCs w:val="22"/>
        </w:rPr>
      </w:pPr>
    </w:p>
    <w:p w14:paraId="4D6FF0A1" w14:textId="4E026948" w:rsidR="00A8140F" w:rsidRPr="00670173" w:rsidRDefault="00487EA8" w:rsidP="00402F45">
      <w:pPr>
        <w:pStyle w:val="Listenabsatz"/>
        <w:numPr>
          <w:ilvl w:val="0"/>
          <w:numId w:val="22"/>
        </w:numPr>
        <w:spacing w:line="360" w:lineRule="auto"/>
        <w:ind w:left="993" w:hanging="851"/>
        <w:rPr>
          <w:sz w:val="22"/>
        </w:rPr>
      </w:pPr>
      <w:r w:rsidRPr="00670173">
        <w:rPr>
          <w:sz w:val="22"/>
        </w:rPr>
        <w:t>IIR-ME_2021_DRAFT</w:t>
      </w:r>
    </w:p>
    <w:p w14:paraId="5E377170" w14:textId="1B53865F" w:rsidR="00487EA8" w:rsidRPr="00670173" w:rsidRDefault="00487EA8" w:rsidP="00402F45">
      <w:pPr>
        <w:pStyle w:val="Listenabsatz"/>
        <w:numPr>
          <w:ilvl w:val="0"/>
          <w:numId w:val="22"/>
        </w:numPr>
        <w:spacing w:line="360" w:lineRule="auto"/>
        <w:ind w:left="993" w:hanging="851"/>
        <w:rPr>
          <w:sz w:val="22"/>
        </w:rPr>
      </w:pPr>
      <w:r w:rsidRPr="00670173">
        <w:rPr>
          <w:sz w:val="22"/>
        </w:rPr>
        <w:t>IIR-ME_2021_FINAL</w:t>
      </w:r>
    </w:p>
    <w:p w14:paraId="5A6F4107" w14:textId="73DA58BF" w:rsidR="00A8140F" w:rsidRPr="00670173" w:rsidRDefault="00487EA8" w:rsidP="00402F45">
      <w:pPr>
        <w:pStyle w:val="Listenabsatz"/>
        <w:numPr>
          <w:ilvl w:val="0"/>
          <w:numId w:val="22"/>
        </w:numPr>
        <w:spacing w:line="360" w:lineRule="auto"/>
        <w:ind w:left="993" w:hanging="851"/>
        <w:rPr>
          <w:sz w:val="22"/>
        </w:rPr>
      </w:pPr>
      <w:r w:rsidRPr="00670173">
        <w:rPr>
          <w:sz w:val="22"/>
        </w:rPr>
        <w:t>ME_ANNEX_i_1990-2019_v1</w:t>
      </w:r>
    </w:p>
    <w:p w14:paraId="1A8B7A4B" w14:textId="2B2060CA" w:rsidR="00487EA8" w:rsidRPr="00670173" w:rsidRDefault="00487EA8" w:rsidP="00402F45">
      <w:pPr>
        <w:pStyle w:val="Listenabsatz"/>
        <w:numPr>
          <w:ilvl w:val="0"/>
          <w:numId w:val="22"/>
        </w:numPr>
        <w:spacing w:line="360" w:lineRule="auto"/>
        <w:ind w:left="993" w:hanging="851"/>
        <w:rPr>
          <w:sz w:val="22"/>
        </w:rPr>
      </w:pPr>
      <w:r w:rsidRPr="00670173">
        <w:rPr>
          <w:sz w:val="22"/>
        </w:rPr>
        <w:t>ME-NFR_1990-2019_v2.0</w:t>
      </w:r>
    </w:p>
    <w:p w14:paraId="276021B3" w14:textId="315D8890" w:rsidR="00A8140F" w:rsidRPr="00670173" w:rsidRDefault="2A9278A2" w:rsidP="00402F45">
      <w:pPr>
        <w:pStyle w:val="Listenabsatz"/>
        <w:numPr>
          <w:ilvl w:val="0"/>
          <w:numId w:val="22"/>
        </w:numPr>
        <w:spacing w:line="360" w:lineRule="auto"/>
        <w:ind w:left="993" w:hanging="851"/>
        <w:rPr>
          <w:sz w:val="22"/>
        </w:rPr>
      </w:pPr>
      <w:r w:rsidRPr="00670173">
        <w:rPr>
          <w:sz w:val="22"/>
        </w:rPr>
        <w:t>Stage 3 RR from year 20</w:t>
      </w:r>
      <w:r w:rsidR="00487EA8" w:rsidRPr="00670173">
        <w:rPr>
          <w:sz w:val="22"/>
        </w:rPr>
        <w:t>12</w:t>
      </w:r>
    </w:p>
    <w:p w14:paraId="2DF99CAE" w14:textId="75E2FF9B" w:rsidR="00A8140F" w:rsidRPr="00670173" w:rsidRDefault="00487EA8" w:rsidP="00402F45">
      <w:pPr>
        <w:pStyle w:val="Listenabsatz"/>
        <w:numPr>
          <w:ilvl w:val="0"/>
          <w:numId w:val="22"/>
        </w:numPr>
        <w:spacing w:line="360" w:lineRule="auto"/>
        <w:ind w:left="993" w:hanging="851"/>
        <w:rPr>
          <w:sz w:val="22"/>
        </w:rPr>
      </w:pPr>
      <w:r w:rsidRPr="00670173">
        <w:rPr>
          <w:sz w:val="22"/>
        </w:rPr>
        <w:t>Repdab Report</w:t>
      </w:r>
    </w:p>
    <w:p w14:paraId="2074E0A9" w14:textId="0D1C518F" w:rsidR="00487EA8" w:rsidRPr="00670173" w:rsidRDefault="00487EA8" w:rsidP="00402F45">
      <w:pPr>
        <w:pStyle w:val="Listenabsatz"/>
        <w:numPr>
          <w:ilvl w:val="0"/>
          <w:numId w:val="22"/>
        </w:numPr>
        <w:spacing w:line="360" w:lineRule="auto"/>
        <w:ind w:left="993" w:hanging="851"/>
        <w:rPr>
          <w:sz w:val="22"/>
        </w:rPr>
      </w:pPr>
      <w:r w:rsidRPr="00670173">
        <w:rPr>
          <w:sz w:val="22"/>
        </w:rPr>
        <w:t>Stage 1 and 2 S&amp;A report 2021</w:t>
      </w:r>
    </w:p>
    <w:p w14:paraId="12718F2D" w14:textId="476F02DB" w:rsidR="008666D8" w:rsidRPr="00670173" w:rsidRDefault="008666D8" w:rsidP="00402F45">
      <w:pPr>
        <w:pStyle w:val="Listenabsatz"/>
        <w:numPr>
          <w:ilvl w:val="0"/>
          <w:numId w:val="22"/>
        </w:numPr>
        <w:spacing w:line="360" w:lineRule="auto"/>
        <w:ind w:left="993" w:hanging="851"/>
        <w:rPr>
          <w:sz w:val="22"/>
        </w:rPr>
      </w:pPr>
      <w:r w:rsidRPr="00670173">
        <w:rPr>
          <w:sz w:val="22"/>
        </w:rPr>
        <w:t xml:space="preserve">Extended checks </w:t>
      </w:r>
    </w:p>
    <w:p w14:paraId="0AD4B9EB" w14:textId="77777777" w:rsidR="00670173" w:rsidRDefault="00670173" w:rsidP="00670173">
      <w:bookmarkStart w:id="50" w:name="_Toc79490439"/>
    </w:p>
    <w:p w14:paraId="037D056D" w14:textId="21DF33D8" w:rsidR="00945281" w:rsidRDefault="2A9278A2" w:rsidP="00402F45">
      <w:pPr>
        <w:pStyle w:val="berschrift2"/>
        <w:ind w:left="993" w:hanging="851"/>
      </w:pPr>
      <w:r>
        <w:t>List of additional materials provided by the Country during the Review</w:t>
      </w:r>
      <w:bookmarkEnd w:id="50"/>
      <w:r>
        <w:t xml:space="preserve"> </w:t>
      </w:r>
      <w:bookmarkEnd w:id="48"/>
    </w:p>
    <w:p w14:paraId="38C415E6" w14:textId="77777777" w:rsidR="00402F45" w:rsidRPr="00402F45" w:rsidRDefault="00402F45" w:rsidP="00402F45"/>
    <w:p w14:paraId="36BD55F0" w14:textId="65F2673A" w:rsidR="0027042D" w:rsidRPr="00670173" w:rsidRDefault="0027042D" w:rsidP="00402F45">
      <w:pPr>
        <w:pStyle w:val="Listenabsatz"/>
        <w:numPr>
          <w:ilvl w:val="0"/>
          <w:numId w:val="22"/>
        </w:numPr>
        <w:spacing w:line="360" w:lineRule="auto"/>
        <w:ind w:left="993" w:hanging="851"/>
        <w:rPr>
          <w:sz w:val="22"/>
        </w:rPr>
      </w:pPr>
      <w:r w:rsidRPr="00670173">
        <w:rPr>
          <w:sz w:val="22"/>
        </w:rPr>
        <w:t>Answers to the questions of review team (“Clever space” platform at Umweltbundesamt website)</w:t>
      </w:r>
    </w:p>
    <w:p w14:paraId="222544F4" w14:textId="77777777" w:rsidR="00670173" w:rsidRPr="002B078B" w:rsidRDefault="00670173" w:rsidP="00670173">
      <w:pPr>
        <w:pStyle w:val="Listenabsatz"/>
        <w:numPr>
          <w:ilvl w:val="0"/>
          <w:numId w:val="22"/>
        </w:numPr>
        <w:spacing w:line="360" w:lineRule="auto"/>
        <w:ind w:left="993" w:hanging="851"/>
        <w:rPr>
          <w:sz w:val="22"/>
        </w:rPr>
      </w:pPr>
      <w:r w:rsidRPr="002B078B">
        <w:rPr>
          <w:sz w:val="22"/>
        </w:rPr>
        <w:t>Material received from the Party during the Review</w:t>
      </w:r>
    </w:p>
    <w:p w14:paraId="56C02D23" w14:textId="7C85DEB2" w:rsidR="00945281" w:rsidRPr="00670173" w:rsidRDefault="00487EA8" w:rsidP="00670173">
      <w:pPr>
        <w:numPr>
          <w:ilvl w:val="1"/>
          <w:numId w:val="22"/>
        </w:numPr>
        <w:spacing w:after="120"/>
        <w:rPr>
          <w:sz w:val="22"/>
        </w:rPr>
      </w:pPr>
      <w:r w:rsidRPr="00487EA8">
        <w:t>1</w:t>
      </w:r>
      <w:r w:rsidRPr="00670173">
        <w:rPr>
          <w:sz w:val="22"/>
        </w:rPr>
        <w:t>.A.3.b_RoadTransport_ActivityData.xlsx</w:t>
      </w:r>
    </w:p>
    <w:p w14:paraId="5D45C4F8" w14:textId="69D91ECE" w:rsidR="00487EA8" w:rsidRPr="00670173" w:rsidRDefault="00487EA8" w:rsidP="00670173">
      <w:pPr>
        <w:numPr>
          <w:ilvl w:val="1"/>
          <w:numId w:val="22"/>
        </w:numPr>
        <w:spacing w:after="120"/>
        <w:rPr>
          <w:sz w:val="22"/>
        </w:rPr>
      </w:pPr>
      <w:r w:rsidRPr="00670173">
        <w:rPr>
          <w:sz w:val="22"/>
        </w:rPr>
        <w:t>2.D.3_Domestic solvent use.xlsx</w:t>
      </w:r>
    </w:p>
    <w:p w14:paraId="497FBDD8" w14:textId="23DA6E71" w:rsidR="00487EA8" w:rsidRPr="00670173" w:rsidRDefault="00487EA8" w:rsidP="00670173">
      <w:pPr>
        <w:numPr>
          <w:ilvl w:val="1"/>
          <w:numId w:val="22"/>
        </w:numPr>
        <w:spacing w:after="120"/>
        <w:rPr>
          <w:sz w:val="22"/>
        </w:rPr>
      </w:pPr>
      <w:r w:rsidRPr="00670173">
        <w:rPr>
          <w:sz w:val="22"/>
        </w:rPr>
        <w:t>3.B. Table 5.2_AMMS-revised.xlsx</w:t>
      </w:r>
    </w:p>
    <w:p w14:paraId="0DCBA03F" w14:textId="7500CCEB" w:rsidR="00487EA8" w:rsidRPr="00670173" w:rsidRDefault="00487EA8" w:rsidP="00670173">
      <w:pPr>
        <w:numPr>
          <w:ilvl w:val="1"/>
          <w:numId w:val="22"/>
        </w:numPr>
        <w:spacing w:after="120"/>
        <w:rPr>
          <w:sz w:val="22"/>
        </w:rPr>
      </w:pPr>
      <w:r w:rsidRPr="00670173">
        <w:rPr>
          <w:sz w:val="22"/>
        </w:rPr>
        <w:t>5.A_Solid_Waste_Disposal.xlsx</w:t>
      </w:r>
    </w:p>
    <w:p w14:paraId="3AC23959" w14:textId="3FE08BC4" w:rsidR="00487EA8" w:rsidRPr="00670173" w:rsidRDefault="00487EA8" w:rsidP="00670173">
      <w:pPr>
        <w:numPr>
          <w:ilvl w:val="1"/>
          <w:numId w:val="22"/>
        </w:numPr>
        <w:spacing w:after="120"/>
        <w:rPr>
          <w:sz w:val="22"/>
        </w:rPr>
      </w:pPr>
      <w:r w:rsidRPr="00670173">
        <w:rPr>
          <w:sz w:val="22"/>
        </w:rPr>
        <w:t>5.D_WasteWater.xlsx</w:t>
      </w:r>
    </w:p>
    <w:p w14:paraId="245EA65C" w14:textId="604E7198" w:rsidR="00487EA8" w:rsidRPr="00670173" w:rsidRDefault="00487EA8" w:rsidP="00670173">
      <w:pPr>
        <w:numPr>
          <w:ilvl w:val="1"/>
          <w:numId w:val="22"/>
        </w:numPr>
        <w:spacing w:after="120"/>
        <w:rPr>
          <w:sz w:val="22"/>
        </w:rPr>
      </w:pPr>
      <w:r w:rsidRPr="00670173">
        <w:rPr>
          <w:sz w:val="22"/>
        </w:rPr>
        <w:t>Copy of Montenegro Stage 3 review 2021_Transport_Solvents.xlsx</w:t>
      </w:r>
    </w:p>
    <w:p w14:paraId="3C68BD45" w14:textId="02BD39DB" w:rsidR="00487EA8" w:rsidRPr="00670173" w:rsidRDefault="00487EA8" w:rsidP="00670173">
      <w:pPr>
        <w:numPr>
          <w:ilvl w:val="1"/>
          <w:numId w:val="22"/>
        </w:numPr>
        <w:spacing w:after="120"/>
        <w:rPr>
          <w:sz w:val="22"/>
        </w:rPr>
      </w:pPr>
      <w:r w:rsidRPr="00670173">
        <w:rPr>
          <w:sz w:val="22"/>
        </w:rPr>
        <w:t>Copy of Montenegro Stage 3 review 2021_Waste-Agriculture-General.xlsx</w:t>
      </w:r>
    </w:p>
    <w:p w14:paraId="30612AE6" w14:textId="6810951D" w:rsidR="00487EA8" w:rsidRPr="00670173" w:rsidRDefault="00487EA8" w:rsidP="00670173">
      <w:pPr>
        <w:numPr>
          <w:ilvl w:val="1"/>
          <w:numId w:val="22"/>
        </w:numPr>
        <w:spacing w:after="120"/>
        <w:rPr>
          <w:sz w:val="22"/>
        </w:rPr>
      </w:pPr>
      <w:r w:rsidRPr="00670173">
        <w:rPr>
          <w:sz w:val="22"/>
        </w:rPr>
        <w:t>MNE_EnergyBalance_1990-2019_s.xlsx</w:t>
      </w:r>
    </w:p>
    <w:p w14:paraId="25907EBE" w14:textId="77777777" w:rsidR="00056DF4" w:rsidRDefault="00056DF4">
      <w:pPr>
        <w:rPr>
          <w:b/>
          <w:caps/>
          <w:kern w:val="28"/>
          <w:sz w:val="32"/>
        </w:rPr>
      </w:pPr>
      <w:r>
        <w:br w:type="page"/>
      </w:r>
    </w:p>
    <w:p w14:paraId="335B0F7F" w14:textId="77777777" w:rsidR="00945281" w:rsidRDefault="00945281">
      <w:pPr>
        <w:pStyle w:val="Annex"/>
        <w:numPr>
          <w:ilvl w:val="0"/>
          <w:numId w:val="0"/>
        </w:numPr>
      </w:pPr>
    </w:p>
    <w:p w14:paraId="476E581F" w14:textId="77777777" w:rsidR="00056DF4" w:rsidRDefault="00056DF4">
      <w:pPr>
        <w:pStyle w:val="Annex"/>
        <w:numPr>
          <w:ilvl w:val="0"/>
          <w:numId w:val="0"/>
        </w:numPr>
      </w:pPr>
      <w:bookmarkStart w:id="51" w:name="_Toc79490440"/>
      <w:r w:rsidRPr="000F7CEB">
        <w:t>Annex i POTential Technical corrections</w:t>
      </w:r>
      <w:bookmarkEnd w:id="51"/>
      <w:r w:rsidRPr="0B5AB0B5">
        <w:t xml:space="preserve"> </w:t>
      </w:r>
    </w:p>
    <w:p w14:paraId="5D3A4B6C" w14:textId="62148AEE" w:rsidR="00EA45F0" w:rsidRDefault="2A9278A2" w:rsidP="007F5740">
      <w:pPr>
        <w:pStyle w:val="RegPara"/>
      </w:pPr>
      <w:r w:rsidRPr="00E216B2">
        <w:t xml:space="preserve">Technical corrections have been proposed by the ERT during the review week for the </w:t>
      </w:r>
      <w:r w:rsidR="00E216B2" w:rsidRPr="00E216B2">
        <w:t>IPPU</w:t>
      </w:r>
      <w:r w:rsidRPr="00E216B2">
        <w:t xml:space="preserve"> sector.  Detailed related information is provided separately in the Excel file</w:t>
      </w:r>
      <w:r w:rsidR="00E216B2" w:rsidRPr="00E216B2">
        <w:t xml:space="preserve"> </w:t>
      </w:r>
      <w:r w:rsidR="00E216B2" w:rsidRPr="00E216B2">
        <w:rPr>
          <w:i/>
          <w:iCs/>
        </w:rPr>
        <w:t>ME-TC RE-IPPU-2021_v2.xlsx</w:t>
      </w:r>
      <w:r w:rsidR="00E216B2" w:rsidRPr="00E216B2">
        <w:t xml:space="preserve"> . </w:t>
      </w:r>
    </w:p>
    <w:p w14:paraId="73F01DAF" w14:textId="77777777" w:rsidR="00C94F61" w:rsidRPr="00E216B2" w:rsidRDefault="00C94F61" w:rsidP="00C94F61">
      <w:pPr>
        <w:pStyle w:val="RegHead3"/>
      </w:pPr>
    </w:p>
    <w:tbl>
      <w:tblPr>
        <w:tblW w:w="8250" w:type="dxa"/>
        <w:tblInd w:w="-10" w:type="dxa"/>
        <w:tblLook w:val="04A0" w:firstRow="1" w:lastRow="0" w:firstColumn="1" w:lastColumn="0" w:noHBand="0" w:noVBand="1"/>
      </w:tblPr>
      <w:tblGrid>
        <w:gridCol w:w="2741"/>
        <w:gridCol w:w="2367"/>
        <w:gridCol w:w="1429"/>
        <w:gridCol w:w="826"/>
        <w:gridCol w:w="887"/>
      </w:tblGrid>
      <w:tr w:rsidR="0027042D" w:rsidRPr="00E216B2" w14:paraId="3B2F1DEA" w14:textId="77777777" w:rsidTr="0027042D">
        <w:trPr>
          <w:trHeight w:val="315"/>
        </w:trPr>
        <w:tc>
          <w:tcPr>
            <w:tcW w:w="2741" w:type="dxa"/>
            <w:vMerge w:val="restart"/>
            <w:tcBorders>
              <w:top w:val="single" w:sz="4" w:space="0" w:color="auto"/>
              <w:left w:val="single" w:sz="4" w:space="0" w:color="auto"/>
              <w:bottom w:val="single" w:sz="8" w:space="0" w:color="000000"/>
              <w:right w:val="single" w:sz="8" w:space="0" w:color="auto"/>
            </w:tcBorders>
            <w:shd w:val="clear" w:color="000000" w:fill="305496"/>
            <w:noWrap/>
            <w:vAlign w:val="center"/>
            <w:hideMark/>
          </w:tcPr>
          <w:p w14:paraId="04A39729" w14:textId="77777777" w:rsidR="0027042D" w:rsidRPr="00E216B2" w:rsidRDefault="0027042D" w:rsidP="00E216B2">
            <w:pPr>
              <w:rPr>
                <w:rFonts w:ascii="Calibri" w:hAnsi="Calibri" w:cs="Calibri"/>
                <w:b/>
                <w:bCs/>
                <w:color w:val="FFFFFF"/>
                <w:sz w:val="20"/>
                <w:lang w:eastAsia="en-GB"/>
              </w:rPr>
            </w:pPr>
            <w:r w:rsidRPr="00E216B2">
              <w:rPr>
                <w:rFonts w:ascii="Calibri" w:hAnsi="Calibri" w:cs="Calibri"/>
                <w:b/>
                <w:bCs/>
                <w:color w:val="FFFFFF"/>
                <w:sz w:val="20"/>
                <w:lang w:eastAsia="en-GB"/>
              </w:rPr>
              <w:t>Description</w:t>
            </w:r>
          </w:p>
        </w:tc>
        <w:tc>
          <w:tcPr>
            <w:tcW w:w="2367" w:type="dxa"/>
            <w:vMerge w:val="restart"/>
            <w:tcBorders>
              <w:top w:val="single" w:sz="4" w:space="0" w:color="auto"/>
              <w:left w:val="single" w:sz="8" w:space="0" w:color="auto"/>
              <w:bottom w:val="single" w:sz="8" w:space="0" w:color="000000"/>
              <w:right w:val="single" w:sz="8" w:space="0" w:color="auto"/>
            </w:tcBorders>
            <w:shd w:val="clear" w:color="000000" w:fill="305496"/>
            <w:noWrap/>
            <w:vAlign w:val="center"/>
            <w:hideMark/>
          </w:tcPr>
          <w:p w14:paraId="12EAAEF4" w14:textId="77777777" w:rsidR="0027042D" w:rsidRPr="00E216B2" w:rsidRDefault="0027042D" w:rsidP="00E216B2">
            <w:pPr>
              <w:rPr>
                <w:rFonts w:ascii="Calibri" w:hAnsi="Calibri" w:cs="Calibri"/>
                <w:b/>
                <w:bCs/>
                <w:color w:val="FFFFFF"/>
                <w:sz w:val="20"/>
                <w:lang w:eastAsia="en-GB"/>
              </w:rPr>
            </w:pPr>
            <w:r w:rsidRPr="00E216B2">
              <w:rPr>
                <w:rFonts w:ascii="Calibri" w:hAnsi="Calibri" w:cs="Calibri"/>
                <w:b/>
                <w:bCs/>
                <w:color w:val="FFFFFF"/>
                <w:sz w:val="20"/>
                <w:lang w:eastAsia="en-GB"/>
              </w:rPr>
              <w:t>Reference</w:t>
            </w:r>
          </w:p>
        </w:tc>
        <w:tc>
          <w:tcPr>
            <w:tcW w:w="3142" w:type="dxa"/>
            <w:gridSpan w:val="3"/>
            <w:tcBorders>
              <w:top w:val="single" w:sz="4" w:space="0" w:color="auto"/>
              <w:left w:val="nil"/>
              <w:bottom w:val="single" w:sz="8" w:space="0" w:color="auto"/>
              <w:right w:val="single" w:sz="4" w:space="0" w:color="auto"/>
            </w:tcBorders>
            <w:shd w:val="clear" w:color="000000" w:fill="305496"/>
            <w:noWrap/>
            <w:vAlign w:val="center"/>
            <w:hideMark/>
          </w:tcPr>
          <w:p w14:paraId="50467CD0" w14:textId="77777777" w:rsidR="0027042D" w:rsidRPr="00E216B2" w:rsidRDefault="0027042D" w:rsidP="00E216B2">
            <w:pPr>
              <w:jc w:val="center"/>
              <w:rPr>
                <w:rFonts w:ascii="Calibri" w:hAnsi="Calibri" w:cs="Calibri"/>
                <w:b/>
                <w:bCs/>
                <w:color w:val="FFFFFF"/>
                <w:sz w:val="20"/>
                <w:lang w:eastAsia="en-GB"/>
              </w:rPr>
            </w:pPr>
            <w:r w:rsidRPr="00E216B2">
              <w:rPr>
                <w:rFonts w:ascii="Calibri" w:hAnsi="Calibri" w:cs="Calibri"/>
                <w:b/>
                <w:bCs/>
                <w:color w:val="FFFFFF"/>
                <w:sz w:val="20"/>
                <w:lang w:eastAsia="en-GB"/>
              </w:rPr>
              <w:t>Pollutant estimates</w:t>
            </w:r>
          </w:p>
        </w:tc>
      </w:tr>
      <w:tr w:rsidR="0027042D" w:rsidRPr="00E216B2" w14:paraId="6831824A" w14:textId="77777777" w:rsidTr="0027042D">
        <w:trPr>
          <w:trHeight w:val="315"/>
        </w:trPr>
        <w:tc>
          <w:tcPr>
            <w:tcW w:w="2741" w:type="dxa"/>
            <w:vMerge/>
            <w:tcBorders>
              <w:top w:val="single" w:sz="8" w:space="0" w:color="auto"/>
              <w:left w:val="single" w:sz="4" w:space="0" w:color="auto"/>
              <w:bottom w:val="single" w:sz="8" w:space="0" w:color="000000"/>
              <w:right w:val="single" w:sz="8" w:space="0" w:color="auto"/>
            </w:tcBorders>
            <w:vAlign w:val="center"/>
            <w:hideMark/>
          </w:tcPr>
          <w:p w14:paraId="7C6A557B" w14:textId="77777777" w:rsidR="0027042D" w:rsidRPr="00E216B2" w:rsidRDefault="0027042D" w:rsidP="00E216B2">
            <w:pPr>
              <w:rPr>
                <w:rFonts w:ascii="Calibri" w:hAnsi="Calibri" w:cs="Calibri"/>
                <w:b/>
                <w:bCs/>
                <w:color w:val="FFFFFF"/>
                <w:sz w:val="20"/>
                <w:lang w:eastAsia="en-GB"/>
              </w:rPr>
            </w:pPr>
          </w:p>
        </w:tc>
        <w:tc>
          <w:tcPr>
            <w:tcW w:w="2367" w:type="dxa"/>
            <w:vMerge/>
            <w:tcBorders>
              <w:top w:val="single" w:sz="8" w:space="0" w:color="auto"/>
              <w:left w:val="single" w:sz="8" w:space="0" w:color="auto"/>
              <w:bottom w:val="single" w:sz="8" w:space="0" w:color="000000"/>
              <w:right w:val="single" w:sz="8" w:space="0" w:color="auto"/>
            </w:tcBorders>
            <w:vAlign w:val="center"/>
            <w:hideMark/>
          </w:tcPr>
          <w:p w14:paraId="165E5C7A" w14:textId="77777777" w:rsidR="0027042D" w:rsidRPr="00E216B2" w:rsidRDefault="0027042D" w:rsidP="00E216B2">
            <w:pPr>
              <w:rPr>
                <w:rFonts w:ascii="Calibri" w:hAnsi="Calibri" w:cs="Calibri"/>
                <w:b/>
                <w:bCs/>
                <w:color w:val="FFFFFF"/>
                <w:sz w:val="20"/>
                <w:lang w:eastAsia="en-GB"/>
              </w:rPr>
            </w:pPr>
          </w:p>
        </w:tc>
        <w:tc>
          <w:tcPr>
            <w:tcW w:w="1429" w:type="dxa"/>
            <w:tcBorders>
              <w:top w:val="nil"/>
              <w:left w:val="nil"/>
              <w:bottom w:val="single" w:sz="8" w:space="0" w:color="auto"/>
              <w:right w:val="nil"/>
            </w:tcBorders>
            <w:shd w:val="clear" w:color="000000" w:fill="305496"/>
            <w:noWrap/>
            <w:vAlign w:val="center"/>
            <w:hideMark/>
          </w:tcPr>
          <w:p w14:paraId="3D0E737C" w14:textId="77777777" w:rsidR="0027042D" w:rsidRPr="00E216B2" w:rsidRDefault="0027042D" w:rsidP="00E216B2">
            <w:pPr>
              <w:jc w:val="right"/>
              <w:rPr>
                <w:rFonts w:ascii="Calibri" w:hAnsi="Calibri" w:cs="Calibri"/>
                <w:b/>
                <w:bCs/>
                <w:color w:val="FFFFFF"/>
                <w:sz w:val="20"/>
                <w:lang w:eastAsia="en-GB"/>
              </w:rPr>
            </w:pPr>
            <w:r w:rsidRPr="00E216B2">
              <w:rPr>
                <w:rFonts w:ascii="Calibri" w:hAnsi="Calibri" w:cs="Calibri"/>
                <w:b/>
                <w:bCs/>
                <w:color w:val="FFFFFF"/>
                <w:sz w:val="20"/>
                <w:lang w:eastAsia="en-GB"/>
              </w:rPr>
              <w:t>2019</w:t>
            </w:r>
          </w:p>
        </w:tc>
        <w:tc>
          <w:tcPr>
            <w:tcW w:w="826" w:type="dxa"/>
            <w:tcBorders>
              <w:top w:val="nil"/>
              <w:left w:val="nil"/>
              <w:bottom w:val="single" w:sz="8" w:space="0" w:color="auto"/>
              <w:right w:val="single" w:sz="8" w:space="0" w:color="auto"/>
            </w:tcBorders>
            <w:shd w:val="clear" w:color="000000" w:fill="305496"/>
            <w:noWrap/>
            <w:vAlign w:val="center"/>
            <w:hideMark/>
          </w:tcPr>
          <w:p w14:paraId="6E713A9B" w14:textId="77777777" w:rsidR="0027042D" w:rsidRPr="00E216B2" w:rsidRDefault="0027042D" w:rsidP="00E216B2">
            <w:pPr>
              <w:jc w:val="right"/>
              <w:rPr>
                <w:rFonts w:ascii="Calibri" w:hAnsi="Calibri" w:cs="Calibri"/>
                <w:b/>
                <w:bCs/>
                <w:color w:val="FFFFFF"/>
                <w:sz w:val="20"/>
                <w:lang w:eastAsia="en-GB"/>
              </w:rPr>
            </w:pPr>
            <w:r w:rsidRPr="00E216B2">
              <w:rPr>
                <w:rFonts w:ascii="Calibri" w:hAnsi="Calibri" w:cs="Calibri"/>
                <w:b/>
                <w:bCs/>
                <w:color w:val="FFFFFF"/>
                <w:sz w:val="20"/>
                <w:lang w:eastAsia="en-GB"/>
              </w:rPr>
              <w:t>2010</w:t>
            </w:r>
          </w:p>
        </w:tc>
        <w:tc>
          <w:tcPr>
            <w:tcW w:w="887" w:type="dxa"/>
            <w:tcBorders>
              <w:top w:val="nil"/>
              <w:left w:val="nil"/>
              <w:bottom w:val="single" w:sz="8" w:space="0" w:color="auto"/>
              <w:right w:val="single" w:sz="4" w:space="0" w:color="auto"/>
            </w:tcBorders>
            <w:shd w:val="clear" w:color="000000" w:fill="305496"/>
            <w:noWrap/>
            <w:vAlign w:val="center"/>
            <w:hideMark/>
          </w:tcPr>
          <w:p w14:paraId="08E22EFE" w14:textId="77777777" w:rsidR="0027042D" w:rsidRPr="00E216B2" w:rsidRDefault="0027042D" w:rsidP="00E216B2">
            <w:pPr>
              <w:jc w:val="right"/>
              <w:rPr>
                <w:rFonts w:ascii="Calibri" w:hAnsi="Calibri" w:cs="Calibri"/>
                <w:b/>
                <w:bCs/>
                <w:color w:val="FFFFFF"/>
                <w:sz w:val="20"/>
                <w:lang w:eastAsia="en-GB"/>
              </w:rPr>
            </w:pPr>
            <w:r w:rsidRPr="00E216B2">
              <w:rPr>
                <w:rFonts w:ascii="Calibri" w:hAnsi="Calibri" w:cs="Calibri"/>
                <w:b/>
                <w:bCs/>
                <w:color w:val="FFFFFF"/>
                <w:sz w:val="20"/>
                <w:lang w:eastAsia="en-GB"/>
              </w:rPr>
              <w:t>2005</w:t>
            </w:r>
          </w:p>
        </w:tc>
      </w:tr>
      <w:tr w:rsidR="0027042D" w:rsidRPr="00E216B2" w14:paraId="669C7716" w14:textId="77777777" w:rsidTr="0027042D">
        <w:trPr>
          <w:trHeight w:val="315"/>
        </w:trPr>
        <w:tc>
          <w:tcPr>
            <w:tcW w:w="2741" w:type="dxa"/>
            <w:tcBorders>
              <w:top w:val="nil"/>
              <w:left w:val="single" w:sz="4" w:space="0" w:color="auto"/>
              <w:bottom w:val="single" w:sz="8" w:space="0" w:color="auto"/>
              <w:right w:val="nil"/>
            </w:tcBorders>
            <w:shd w:val="clear" w:color="000000" w:fill="8EA9DB"/>
            <w:noWrap/>
            <w:vAlign w:val="center"/>
            <w:hideMark/>
          </w:tcPr>
          <w:p w14:paraId="5D2B0C28" w14:textId="77777777" w:rsidR="0027042D" w:rsidRPr="00E216B2" w:rsidRDefault="0027042D" w:rsidP="00E216B2">
            <w:pPr>
              <w:rPr>
                <w:rFonts w:ascii="Calibri" w:hAnsi="Calibri" w:cs="Calibri"/>
                <w:b/>
                <w:bCs/>
                <w:color w:val="000000"/>
                <w:sz w:val="20"/>
                <w:lang w:eastAsia="en-GB"/>
              </w:rPr>
            </w:pPr>
            <w:r w:rsidRPr="00E216B2">
              <w:rPr>
                <w:rFonts w:ascii="Calibri" w:hAnsi="Calibri" w:cs="Calibri"/>
                <w:b/>
                <w:bCs/>
                <w:color w:val="000000"/>
                <w:sz w:val="20"/>
                <w:lang w:eastAsia="en-GB"/>
              </w:rPr>
              <w:t>Hg</w:t>
            </w:r>
          </w:p>
        </w:tc>
        <w:tc>
          <w:tcPr>
            <w:tcW w:w="2367" w:type="dxa"/>
            <w:tcBorders>
              <w:top w:val="nil"/>
              <w:left w:val="nil"/>
              <w:bottom w:val="single" w:sz="8" w:space="0" w:color="auto"/>
              <w:right w:val="nil"/>
            </w:tcBorders>
            <w:shd w:val="clear" w:color="000000" w:fill="8EA9DB"/>
            <w:noWrap/>
            <w:vAlign w:val="center"/>
            <w:hideMark/>
          </w:tcPr>
          <w:p w14:paraId="577E5377" w14:textId="77777777" w:rsidR="0027042D" w:rsidRPr="00E216B2" w:rsidRDefault="0027042D" w:rsidP="00E216B2">
            <w:pPr>
              <w:rPr>
                <w:rFonts w:ascii="Calibri" w:hAnsi="Calibri" w:cs="Calibri"/>
                <w:b/>
                <w:bCs/>
                <w:color w:val="000000"/>
                <w:sz w:val="20"/>
                <w:lang w:eastAsia="en-GB"/>
              </w:rPr>
            </w:pPr>
            <w:r w:rsidRPr="00E216B2">
              <w:rPr>
                <w:rFonts w:ascii="Calibri" w:hAnsi="Calibri" w:cs="Calibri"/>
                <w:b/>
                <w:bCs/>
                <w:color w:val="000000"/>
                <w:sz w:val="20"/>
                <w:lang w:eastAsia="en-GB"/>
              </w:rPr>
              <w:t> </w:t>
            </w:r>
          </w:p>
        </w:tc>
        <w:tc>
          <w:tcPr>
            <w:tcW w:w="3142" w:type="dxa"/>
            <w:gridSpan w:val="3"/>
            <w:tcBorders>
              <w:top w:val="single" w:sz="8" w:space="0" w:color="auto"/>
              <w:left w:val="single" w:sz="8" w:space="0" w:color="auto"/>
              <w:bottom w:val="single" w:sz="8" w:space="0" w:color="auto"/>
              <w:right w:val="single" w:sz="4" w:space="0" w:color="auto"/>
            </w:tcBorders>
            <w:shd w:val="clear" w:color="000000" w:fill="8EA9DB"/>
            <w:noWrap/>
            <w:vAlign w:val="center"/>
            <w:hideMark/>
          </w:tcPr>
          <w:p w14:paraId="2454DC84" w14:textId="77777777" w:rsidR="0027042D" w:rsidRPr="00E216B2" w:rsidRDefault="0027042D" w:rsidP="00E216B2">
            <w:pPr>
              <w:jc w:val="center"/>
              <w:rPr>
                <w:rFonts w:ascii="Calibri" w:hAnsi="Calibri" w:cs="Calibri"/>
                <w:b/>
                <w:bCs/>
                <w:color w:val="000000"/>
                <w:sz w:val="20"/>
                <w:lang w:eastAsia="en-GB"/>
              </w:rPr>
            </w:pPr>
            <w:r w:rsidRPr="00E216B2">
              <w:rPr>
                <w:rFonts w:ascii="Calibri" w:hAnsi="Calibri" w:cs="Calibri"/>
                <w:b/>
                <w:bCs/>
                <w:color w:val="000000"/>
                <w:sz w:val="20"/>
                <w:lang w:eastAsia="en-GB"/>
              </w:rPr>
              <w:t>Pollutant estimates (t)</w:t>
            </w:r>
          </w:p>
        </w:tc>
      </w:tr>
      <w:tr w:rsidR="0027042D" w:rsidRPr="00E216B2" w14:paraId="257BC85C" w14:textId="77777777" w:rsidTr="0027042D">
        <w:trPr>
          <w:trHeight w:val="315"/>
        </w:trPr>
        <w:tc>
          <w:tcPr>
            <w:tcW w:w="2741" w:type="dxa"/>
            <w:tcBorders>
              <w:top w:val="nil"/>
              <w:left w:val="single" w:sz="4" w:space="0" w:color="auto"/>
              <w:bottom w:val="single" w:sz="8" w:space="0" w:color="auto"/>
              <w:right w:val="single" w:sz="8" w:space="0" w:color="auto"/>
            </w:tcBorders>
            <w:shd w:val="clear" w:color="000000" w:fill="D9E1F2"/>
            <w:noWrap/>
            <w:vAlign w:val="center"/>
            <w:hideMark/>
          </w:tcPr>
          <w:p w14:paraId="378C6B64" w14:textId="77777777" w:rsidR="0027042D" w:rsidRPr="00E216B2" w:rsidRDefault="0027042D" w:rsidP="00E216B2">
            <w:pPr>
              <w:rPr>
                <w:rFonts w:ascii="Calibri" w:hAnsi="Calibri" w:cs="Calibri"/>
                <w:b/>
                <w:bCs/>
                <w:color w:val="000000"/>
                <w:sz w:val="20"/>
                <w:lang w:eastAsia="en-GB"/>
              </w:rPr>
            </w:pPr>
            <w:r w:rsidRPr="00E216B2">
              <w:rPr>
                <w:rFonts w:ascii="Calibri" w:hAnsi="Calibri" w:cs="Calibri"/>
                <w:b/>
                <w:bCs/>
                <w:color w:val="000000"/>
                <w:sz w:val="20"/>
                <w:lang w:eastAsia="en-GB"/>
              </w:rPr>
              <w:t>National total as reported 2019 (row 141)</w:t>
            </w:r>
          </w:p>
        </w:tc>
        <w:tc>
          <w:tcPr>
            <w:tcW w:w="2367" w:type="dxa"/>
            <w:tcBorders>
              <w:top w:val="nil"/>
              <w:left w:val="nil"/>
              <w:bottom w:val="single" w:sz="8" w:space="0" w:color="auto"/>
              <w:right w:val="single" w:sz="8" w:space="0" w:color="auto"/>
            </w:tcBorders>
            <w:shd w:val="clear" w:color="000000" w:fill="D9E1F2"/>
            <w:noWrap/>
            <w:vAlign w:val="center"/>
            <w:hideMark/>
          </w:tcPr>
          <w:p w14:paraId="2100AB21" w14:textId="77777777" w:rsidR="0027042D" w:rsidRPr="00E216B2" w:rsidRDefault="0027042D" w:rsidP="00E216B2">
            <w:pPr>
              <w:rPr>
                <w:rFonts w:ascii="Calibri" w:hAnsi="Calibri" w:cs="Calibri"/>
                <w:b/>
                <w:bCs/>
                <w:color w:val="000000"/>
                <w:sz w:val="20"/>
                <w:lang w:eastAsia="en-GB"/>
              </w:rPr>
            </w:pPr>
            <w:r w:rsidRPr="00E216B2">
              <w:rPr>
                <w:rFonts w:ascii="Calibri" w:hAnsi="Calibri" w:cs="Calibri"/>
                <w:b/>
                <w:bCs/>
                <w:color w:val="000000"/>
                <w:sz w:val="20"/>
                <w:lang w:eastAsia="en-GB"/>
              </w:rPr>
              <w:t>Annex I, 15 February 2021</w:t>
            </w:r>
          </w:p>
        </w:tc>
        <w:tc>
          <w:tcPr>
            <w:tcW w:w="1429" w:type="dxa"/>
            <w:tcBorders>
              <w:top w:val="nil"/>
              <w:left w:val="nil"/>
              <w:bottom w:val="single" w:sz="8" w:space="0" w:color="auto"/>
              <w:right w:val="single" w:sz="8" w:space="0" w:color="auto"/>
            </w:tcBorders>
            <w:shd w:val="clear" w:color="000000" w:fill="D9E1F2"/>
            <w:noWrap/>
            <w:vAlign w:val="center"/>
            <w:hideMark/>
          </w:tcPr>
          <w:p w14:paraId="31B1D5A0"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0.049</w:t>
            </w:r>
          </w:p>
        </w:tc>
        <w:tc>
          <w:tcPr>
            <w:tcW w:w="826" w:type="dxa"/>
            <w:tcBorders>
              <w:top w:val="nil"/>
              <w:left w:val="nil"/>
              <w:bottom w:val="single" w:sz="8" w:space="0" w:color="auto"/>
              <w:right w:val="single" w:sz="8" w:space="0" w:color="auto"/>
            </w:tcBorders>
            <w:shd w:val="clear" w:color="000000" w:fill="D9E1F2"/>
            <w:noWrap/>
            <w:vAlign w:val="center"/>
            <w:hideMark/>
          </w:tcPr>
          <w:p w14:paraId="0E5D1D4A"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0.061</w:t>
            </w:r>
          </w:p>
        </w:tc>
        <w:tc>
          <w:tcPr>
            <w:tcW w:w="887" w:type="dxa"/>
            <w:tcBorders>
              <w:top w:val="nil"/>
              <w:left w:val="nil"/>
              <w:bottom w:val="single" w:sz="8" w:space="0" w:color="auto"/>
              <w:right w:val="single" w:sz="4" w:space="0" w:color="auto"/>
            </w:tcBorders>
            <w:shd w:val="clear" w:color="000000" w:fill="D9E1F2"/>
            <w:noWrap/>
            <w:vAlign w:val="center"/>
            <w:hideMark/>
          </w:tcPr>
          <w:p w14:paraId="25396245"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0.044</w:t>
            </w:r>
          </w:p>
        </w:tc>
      </w:tr>
      <w:tr w:rsidR="0027042D" w:rsidRPr="00E216B2" w14:paraId="7532CB3C" w14:textId="77777777" w:rsidTr="0027042D">
        <w:trPr>
          <w:trHeight w:val="315"/>
        </w:trPr>
        <w:tc>
          <w:tcPr>
            <w:tcW w:w="8250" w:type="dxa"/>
            <w:gridSpan w:val="5"/>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6E9214BF"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revised estimates provided by Party and accepted by the ERT</w:t>
            </w:r>
          </w:p>
        </w:tc>
      </w:tr>
      <w:tr w:rsidR="0027042D" w:rsidRPr="00E216B2" w14:paraId="1981AD14" w14:textId="77777777" w:rsidTr="0027042D">
        <w:trPr>
          <w:trHeight w:val="315"/>
        </w:trPr>
        <w:tc>
          <w:tcPr>
            <w:tcW w:w="2741" w:type="dxa"/>
            <w:tcBorders>
              <w:top w:val="nil"/>
              <w:left w:val="single" w:sz="4" w:space="0" w:color="auto"/>
              <w:bottom w:val="single" w:sz="8" w:space="0" w:color="auto"/>
              <w:right w:val="single" w:sz="8" w:space="0" w:color="auto"/>
            </w:tcBorders>
            <w:shd w:val="clear" w:color="auto" w:fill="auto"/>
            <w:noWrap/>
            <w:vAlign w:val="center"/>
            <w:hideMark/>
          </w:tcPr>
          <w:p w14:paraId="2E1A0AC9"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 xml:space="preserve">2 K Consumption of POPs and heavy metals </w:t>
            </w:r>
          </w:p>
        </w:tc>
        <w:tc>
          <w:tcPr>
            <w:tcW w:w="2367" w:type="dxa"/>
            <w:tcBorders>
              <w:top w:val="nil"/>
              <w:left w:val="nil"/>
              <w:bottom w:val="single" w:sz="8" w:space="0" w:color="auto"/>
              <w:right w:val="single" w:sz="8" w:space="0" w:color="auto"/>
            </w:tcBorders>
            <w:shd w:val="clear" w:color="auto" w:fill="auto"/>
            <w:noWrap/>
            <w:vAlign w:val="center"/>
            <w:hideMark/>
          </w:tcPr>
          <w:p w14:paraId="381C874E"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429" w:type="dxa"/>
            <w:tcBorders>
              <w:top w:val="nil"/>
              <w:left w:val="nil"/>
              <w:bottom w:val="single" w:sz="8" w:space="0" w:color="auto"/>
              <w:right w:val="single" w:sz="8" w:space="0" w:color="auto"/>
            </w:tcBorders>
            <w:shd w:val="clear" w:color="auto" w:fill="auto"/>
            <w:noWrap/>
            <w:vAlign w:val="center"/>
            <w:hideMark/>
          </w:tcPr>
          <w:p w14:paraId="397F7D59"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26" w:type="dxa"/>
            <w:tcBorders>
              <w:top w:val="nil"/>
              <w:left w:val="nil"/>
              <w:bottom w:val="single" w:sz="8" w:space="0" w:color="auto"/>
              <w:right w:val="single" w:sz="8" w:space="0" w:color="auto"/>
            </w:tcBorders>
            <w:shd w:val="clear" w:color="auto" w:fill="auto"/>
            <w:noWrap/>
            <w:vAlign w:val="center"/>
            <w:hideMark/>
          </w:tcPr>
          <w:p w14:paraId="6AF89A25"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87" w:type="dxa"/>
            <w:tcBorders>
              <w:top w:val="nil"/>
              <w:left w:val="nil"/>
              <w:bottom w:val="single" w:sz="8" w:space="0" w:color="auto"/>
              <w:right w:val="single" w:sz="4" w:space="0" w:color="auto"/>
            </w:tcBorders>
            <w:shd w:val="clear" w:color="auto" w:fill="auto"/>
            <w:noWrap/>
            <w:vAlign w:val="center"/>
            <w:hideMark/>
          </w:tcPr>
          <w:p w14:paraId="5E3E5CF9"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r>
      <w:tr w:rsidR="0027042D" w:rsidRPr="00E216B2" w14:paraId="3AF408C8" w14:textId="77777777" w:rsidTr="0027042D">
        <w:trPr>
          <w:trHeight w:val="315"/>
        </w:trPr>
        <w:tc>
          <w:tcPr>
            <w:tcW w:w="8250" w:type="dxa"/>
            <w:gridSpan w:val="5"/>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49897FAE"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technical correction deemed necessary by the ERT</w:t>
            </w:r>
          </w:p>
        </w:tc>
      </w:tr>
      <w:tr w:rsidR="0027042D" w:rsidRPr="00E216B2" w14:paraId="2B78FBEF" w14:textId="77777777" w:rsidTr="0027042D">
        <w:trPr>
          <w:trHeight w:val="300"/>
        </w:trPr>
        <w:tc>
          <w:tcPr>
            <w:tcW w:w="2741" w:type="dxa"/>
            <w:tcBorders>
              <w:top w:val="nil"/>
              <w:left w:val="single" w:sz="4" w:space="0" w:color="auto"/>
              <w:bottom w:val="single" w:sz="8" w:space="0" w:color="auto"/>
              <w:right w:val="single" w:sz="8" w:space="0" w:color="auto"/>
            </w:tcBorders>
            <w:shd w:val="clear" w:color="auto" w:fill="auto"/>
            <w:noWrap/>
            <w:vAlign w:val="center"/>
            <w:hideMark/>
          </w:tcPr>
          <w:p w14:paraId="4153A0B0"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 xml:space="preserve">2 K Consumption of POPs and heavy metals </w:t>
            </w:r>
          </w:p>
        </w:tc>
        <w:tc>
          <w:tcPr>
            <w:tcW w:w="2367" w:type="dxa"/>
            <w:tcBorders>
              <w:top w:val="nil"/>
              <w:left w:val="nil"/>
              <w:bottom w:val="single" w:sz="8" w:space="0" w:color="auto"/>
              <w:right w:val="single" w:sz="8" w:space="0" w:color="auto"/>
            </w:tcBorders>
            <w:shd w:val="clear" w:color="auto" w:fill="auto"/>
            <w:noWrap/>
            <w:vAlign w:val="center"/>
            <w:hideMark/>
          </w:tcPr>
          <w:p w14:paraId="40485030"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429" w:type="dxa"/>
            <w:tcBorders>
              <w:top w:val="nil"/>
              <w:left w:val="nil"/>
              <w:bottom w:val="single" w:sz="8" w:space="0" w:color="auto"/>
              <w:right w:val="single" w:sz="8" w:space="0" w:color="auto"/>
            </w:tcBorders>
            <w:shd w:val="clear" w:color="auto" w:fill="auto"/>
            <w:noWrap/>
            <w:vAlign w:val="center"/>
            <w:hideMark/>
          </w:tcPr>
          <w:p w14:paraId="31390985"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0.006</w:t>
            </w:r>
          </w:p>
        </w:tc>
        <w:tc>
          <w:tcPr>
            <w:tcW w:w="826" w:type="dxa"/>
            <w:tcBorders>
              <w:top w:val="nil"/>
              <w:left w:val="nil"/>
              <w:bottom w:val="single" w:sz="8" w:space="0" w:color="auto"/>
              <w:right w:val="single" w:sz="8" w:space="0" w:color="auto"/>
            </w:tcBorders>
            <w:shd w:val="clear" w:color="auto" w:fill="auto"/>
            <w:noWrap/>
            <w:vAlign w:val="center"/>
            <w:hideMark/>
          </w:tcPr>
          <w:p w14:paraId="742F031D"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0.006</w:t>
            </w:r>
          </w:p>
        </w:tc>
        <w:tc>
          <w:tcPr>
            <w:tcW w:w="887" w:type="dxa"/>
            <w:tcBorders>
              <w:top w:val="nil"/>
              <w:left w:val="nil"/>
              <w:bottom w:val="single" w:sz="8" w:space="0" w:color="auto"/>
              <w:right w:val="single" w:sz="4" w:space="0" w:color="auto"/>
            </w:tcBorders>
            <w:shd w:val="clear" w:color="auto" w:fill="auto"/>
            <w:noWrap/>
            <w:vAlign w:val="center"/>
            <w:hideMark/>
          </w:tcPr>
          <w:p w14:paraId="4A975A88"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0.006</w:t>
            </w:r>
          </w:p>
        </w:tc>
      </w:tr>
      <w:tr w:rsidR="0027042D" w:rsidRPr="00E216B2" w14:paraId="6A927980" w14:textId="77777777" w:rsidTr="0027042D">
        <w:trPr>
          <w:trHeight w:val="870"/>
        </w:trPr>
        <w:tc>
          <w:tcPr>
            <w:tcW w:w="2741" w:type="dxa"/>
            <w:tcBorders>
              <w:top w:val="nil"/>
              <w:left w:val="single" w:sz="4" w:space="0" w:color="auto"/>
              <w:bottom w:val="single" w:sz="8" w:space="0" w:color="auto"/>
              <w:right w:val="single" w:sz="8" w:space="0" w:color="auto"/>
            </w:tcBorders>
            <w:shd w:val="clear" w:color="000000" w:fill="D9E1F2"/>
            <w:vAlign w:val="center"/>
            <w:hideMark/>
          </w:tcPr>
          <w:p w14:paraId="69D868E8" w14:textId="77777777" w:rsidR="0027042D" w:rsidRPr="00E216B2" w:rsidRDefault="0027042D" w:rsidP="00E216B2">
            <w:pPr>
              <w:rPr>
                <w:rFonts w:ascii="Calibri" w:hAnsi="Calibri" w:cs="Calibri"/>
                <w:b/>
                <w:bCs/>
                <w:color w:val="000000"/>
                <w:sz w:val="20"/>
                <w:lang w:eastAsia="en-GB"/>
              </w:rPr>
            </w:pPr>
            <w:r w:rsidRPr="00E216B2">
              <w:rPr>
                <w:rFonts w:ascii="Calibri" w:hAnsi="Calibri" w:cs="Calibri"/>
                <w:b/>
                <w:bCs/>
                <w:color w:val="000000"/>
                <w:sz w:val="20"/>
                <w:lang w:eastAsia="en-GB"/>
              </w:rPr>
              <w:t xml:space="preserve">National total (row 141) including revised estimates and technical corrections accepted by MS </w:t>
            </w:r>
          </w:p>
        </w:tc>
        <w:tc>
          <w:tcPr>
            <w:tcW w:w="2367" w:type="dxa"/>
            <w:tcBorders>
              <w:top w:val="nil"/>
              <w:left w:val="nil"/>
              <w:bottom w:val="single" w:sz="8" w:space="0" w:color="auto"/>
              <w:right w:val="single" w:sz="8" w:space="0" w:color="auto"/>
            </w:tcBorders>
            <w:shd w:val="clear" w:color="000000" w:fill="D9E1F2"/>
            <w:vAlign w:val="center"/>
            <w:hideMark/>
          </w:tcPr>
          <w:p w14:paraId="2E3D7D93"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Calculated using data above</w:t>
            </w:r>
          </w:p>
        </w:tc>
        <w:tc>
          <w:tcPr>
            <w:tcW w:w="1429" w:type="dxa"/>
            <w:tcBorders>
              <w:top w:val="nil"/>
              <w:left w:val="nil"/>
              <w:bottom w:val="single" w:sz="8" w:space="0" w:color="auto"/>
              <w:right w:val="single" w:sz="8" w:space="0" w:color="auto"/>
            </w:tcBorders>
            <w:shd w:val="clear" w:color="000000" w:fill="D9E1F2"/>
            <w:noWrap/>
            <w:vAlign w:val="center"/>
            <w:hideMark/>
          </w:tcPr>
          <w:p w14:paraId="08073C75"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0.055</w:t>
            </w:r>
          </w:p>
        </w:tc>
        <w:tc>
          <w:tcPr>
            <w:tcW w:w="826" w:type="dxa"/>
            <w:tcBorders>
              <w:top w:val="nil"/>
              <w:left w:val="nil"/>
              <w:bottom w:val="single" w:sz="8" w:space="0" w:color="auto"/>
              <w:right w:val="single" w:sz="8" w:space="0" w:color="auto"/>
            </w:tcBorders>
            <w:shd w:val="clear" w:color="000000" w:fill="D9E1F2"/>
            <w:noWrap/>
            <w:vAlign w:val="center"/>
            <w:hideMark/>
          </w:tcPr>
          <w:p w14:paraId="18A715FE"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0.067</w:t>
            </w:r>
          </w:p>
        </w:tc>
        <w:tc>
          <w:tcPr>
            <w:tcW w:w="887" w:type="dxa"/>
            <w:tcBorders>
              <w:top w:val="nil"/>
              <w:left w:val="nil"/>
              <w:bottom w:val="single" w:sz="8" w:space="0" w:color="auto"/>
              <w:right w:val="single" w:sz="4" w:space="0" w:color="auto"/>
            </w:tcBorders>
            <w:shd w:val="clear" w:color="000000" w:fill="D9E1F2"/>
            <w:noWrap/>
            <w:vAlign w:val="center"/>
            <w:hideMark/>
          </w:tcPr>
          <w:p w14:paraId="5D0381AC"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0.050</w:t>
            </w:r>
          </w:p>
        </w:tc>
      </w:tr>
      <w:tr w:rsidR="0027042D" w:rsidRPr="00E216B2" w14:paraId="57AD1CC4" w14:textId="77777777" w:rsidTr="0027042D">
        <w:trPr>
          <w:trHeight w:val="315"/>
        </w:trPr>
        <w:tc>
          <w:tcPr>
            <w:tcW w:w="2741" w:type="dxa"/>
            <w:tcBorders>
              <w:top w:val="nil"/>
              <w:left w:val="single" w:sz="4" w:space="0" w:color="auto"/>
              <w:bottom w:val="single" w:sz="8" w:space="0" w:color="auto"/>
              <w:right w:val="nil"/>
            </w:tcBorders>
            <w:shd w:val="clear" w:color="000000" w:fill="8EA9DB"/>
            <w:noWrap/>
            <w:vAlign w:val="center"/>
            <w:hideMark/>
          </w:tcPr>
          <w:p w14:paraId="45A2E5BD" w14:textId="77777777" w:rsidR="0027042D" w:rsidRPr="00E216B2" w:rsidRDefault="0027042D" w:rsidP="00E216B2">
            <w:pPr>
              <w:rPr>
                <w:rFonts w:ascii="Calibri" w:hAnsi="Calibri" w:cs="Calibri"/>
                <w:b/>
                <w:bCs/>
                <w:color w:val="000000"/>
                <w:sz w:val="20"/>
                <w:lang w:eastAsia="en-GB"/>
              </w:rPr>
            </w:pPr>
            <w:r w:rsidRPr="00E216B2">
              <w:rPr>
                <w:rFonts w:ascii="Calibri" w:hAnsi="Calibri" w:cs="Calibri"/>
                <w:b/>
                <w:bCs/>
                <w:color w:val="000000"/>
                <w:sz w:val="20"/>
                <w:lang w:eastAsia="en-GB"/>
              </w:rPr>
              <w:t>PCB</w:t>
            </w:r>
          </w:p>
        </w:tc>
        <w:tc>
          <w:tcPr>
            <w:tcW w:w="2367" w:type="dxa"/>
            <w:tcBorders>
              <w:top w:val="nil"/>
              <w:left w:val="nil"/>
              <w:bottom w:val="single" w:sz="8" w:space="0" w:color="auto"/>
              <w:right w:val="nil"/>
            </w:tcBorders>
            <w:shd w:val="clear" w:color="000000" w:fill="8EA9DB"/>
            <w:noWrap/>
            <w:vAlign w:val="center"/>
            <w:hideMark/>
          </w:tcPr>
          <w:p w14:paraId="15545FFA" w14:textId="77777777" w:rsidR="0027042D" w:rsidRPr="00E216B2" w:rsidRDefault="0027042D" w:rsidP="00E216B2">
            <w:pPr>
              <w:rPr>
                <w:rFonts w:ascii="Calibri" w:hAnsi="Calibri" w:cs="Calibri"/>
                <w:b/>
                <w:bCs/>
                <w:color w:val="000000"/>
                <w:sz w:val="20"/>
                <w:lang w:eastAsia="en-GB"/>
              </w:rPr>
            </w:pPr>
            <w:r w:rsidRPr="00E216B2">
              <w:rPr>
                <w:rFonts w:ascii="Calibri" w:hAnsi="Calibri" w:cs="Calibri"/>
                <w:b/>
                <w:bCs/>
                <w:color w:val="000000"/>
                <w:sz w:val="20"/>
                <w:lang w:eastAsia="en-GB"/>
              </w:rPr>
              <w:t> </w:t>
            </w:r>
          </w:p>
        </w:tc>
        <w:tc>
          <w:tcPr>
            <w:tcW w:w="3142" w:type="dxa"/>
            <w:gridSpan w:val="3"/>
            <w:tcBorders>
              <w:top w:val="single" w:sz="8" w:space="0" w:color="auto"/>
              <w:left w:val="single" w:sz="8" w:space="0" w:color="auto"/>
              <w:bottom w:val="single" w:sz="8" w:space="0" w:color="auto"/>
              <w:right w:val="single" w:sz="4" w:space="0" w:color="auto"/>
            </w:tcBorders>
            <w:shd w:val="clear" w:color="000000" w:fill="8EA9DB"/>
            <w:noWrap/>
            <w:vAlign w:val="center"/>
            <w:hideMark/>
          </w:tcPr>
          <w:p w14:paraId="60F2A4E7" w14:textId="77777777" w:rsidR="0027042D" w:rsidRPr="00E216B2" w:rsidRDefault="0027042D" w:rsidP="00E216B2">
            <w:pPr>
              <w:jc w:val="center"/>
              <w:rPr>
                <w:rFonts w:ascii="Calibri" w:hAnsi="Calibri" w:cs="Calibri"/>
                <w:b/>
                <w:bCs/>
                <w:color w:val="000000"/>
                <w:sz w:val="20"/>
                <w:lang w:eastAsia="en-GB"/>
              </w:rPr>
            </w:pPr>
            <w:r w:rsidRPr="00E216B2">
              <w:rPr>
                <w:rFonts w:ascii="Calibri" w:hAnsi="Calibri" w:cs="Calibri"/>
                <w:b/>
                <w:bCs/>
                <w:color w:val="000000"/>
                <w:sz w:val="20"/>
                <w:lang w:eastAsia="en-GB"/>
              </w:rPr>
              <w:t>Pollutant estimates (kg)</w:t>
            </w:r>
          </w:p>
        </w:tc>
      </w:tr>
      <w:tr w:rsidR="0027042D" w:rsidRPr="00E216B2" w14:paraId="50362BA5" w14:textId="77777777" w:rsidTr="0027042D">
        <w:trPr>
          <w:trHeight w:val="315"/>
        </w:trPr>
        <w:tc>
          <w:tcPr>
            <w:tcW w:w="2741" w:type="dxa"/>
            <w:tcBorders>
              <w:top w:val="nil"/>
              <w:left w:val="single" w:sz="4" w:space="0" w:color="auto"/>
              <w:bottom w:val="single" w:sz="8" w:space="0" w:color="auto"/>
              <w:right w:val="single" w:sz="8" w:space="0" w:color="auto"/>
            </w:tcBorders>
            <w:shd w:val="clear" w:color="000000" w:fill="D9E1F2"/>
            <w:noWrap/>
            <w:vAlign w:val="center"/>
            <w:hideMark/>
          </w:tcPr>
          <w:p w14:paraId="468EE760" w14:textId="77777777" w:rsidR="0027042D" w:rsidRPr="00E216B2" w:rsidRDefault="0027042D" w:rsidP="00E216B2">
            <w:pPr>
              <w:rPr>
                <w:rFonts w:ascii="Calibri" w:hAnsi="Calibri" w:cs="Calibri"/>
                <w:b/>
                <w:bCs/>
                <w:color w:val="000000"/>
                <w:sz w:val="20"/>
                <w:lang w:eastAsia="en-GB"/>
              </w:rPr>
            </w:pPr>
            <w:r w:rsidRPr="00E216B2">
              <w:rPr>
                <w:rFonts w:ascii="Calibri" w:hAnsi="Calibri" w:cs="Calibri"/>
                <w:b/>
                <w:bCs/>
                <w:color w:val="000000"/>
                <w:sz w:val="20"/>
                <w:lang w:eastAsia="en-GB"/>
              </w:rPr>
              <w:t>National total as reported 2019 (row 141)</w:t>
            </w:r>
          </w:p>
        </w:tc>
        <w:tc>
          <w:tcPr>
            <w:tcW w:w="2367" w:type="dxa"/>
            <w:tcBorders>
              <w:top w:val="nil"/>
              <w:left w:val="nil"/>
              <w:bottom w:val="single" w:sz="8" w:space="0" w:color="auto"/>
              <w:right w:val="single" w:sz="8" w:space="0" w:color="auto"/>
            </w:tcBorders>
            <w:shd w:val="clear" w:color="000000" w:fill="D9E1F2"/>
            <w:noWrap/>
            <w:vAlign w:val="center"/>
            <w:hideMark/>
          </w:tcPr>
          <w:p w14:paraId="734F246A" w14:textId="77777777" w:rsidR="0027042D" w:rsidRPr="00E216B2" w:rsidRDefault="0027042D" w:rsidP="00E216B2">
            <w:pPr>
              <w:rPr>
                <w:rFonts w:ascii="Calibri" w:hAnsi="Calibri" w:cs="Calibri"/>
                <w:b/>
                <w:bCs/>
                <w:color w:val="000000"/>
                <w:sz w:val="20"/>
                <w:lang w:eastAsia="en-GB"/>
              </w:rPr>
            </w:pPr>
            <w:r w:rsidRPr="00E216B2">
              <w:rPr>
                <w:rFonts w:ascii="Calibri" w:hAnsi="Calibri" w:cs="Calibri"/>
                <w:b/>
                <w:bCs/>
                <w:color w:val="000000"/>
                <w:sz w:val="20"/>
                <w:lang w:eastAsia="en-GB"/>
              </w:rPr>
              <w:t>Annex I, 15 February 2021</w:t>
            </w:r>
          </w:p>
        </w:tc>
        <w:tc>
          <w:tcPr>
            <w:tcW w:w="1429" w:type="dxa"/>
            <w:tcBorders>
              <w:top w:val="nil"/>
              <w:left w:val="nil"/>
              <w:bottom w:val="single" w:sz="8" w:space="0" w:color="auto"/>
              <w:right w:val="single" w:sz="8" w:space="0" w:color="auto"/>
            </w:tcBorders>
            <w:shd w:val="clear" w:color="000000" w:fill="D9E1F2"/>
            <w:noWrap/>
            <w:vAlign w:val="center"/>
            <w:hideMark/>
          </w:tcPr>
          <w:p w14:paraId="3E34EED8"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0.03</w:t>
            </w:r>
          </w:p>
        </w:tc>
        <w:tc>
          <w:tcPr>
            <w:tcW w:w="826" w:type="dxa"/>
            <w:tcBorders>
              <w:top w:val="nil"/>
              <w:left w:val="nil"/>
              <w:bottom w:val="single" w:sz="8" w:space="0" w:color="auto"/>
              <w:right w:val="single" w:sz="8" w:space="0" w:color="auto"/>
            </w:tcBorders>
            <w:shd w:val="clear" w:color="000000" w:fill="D9E1F2"/>
            <w:noWrap/>
            <w:vAlign w:val="center"/>
            <w:hideMark/>
          </w:tcPr>
          <w:p w14:paraId="0FBBA385"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0.034</w:t>
            </w:r>
          </w:p>
        </w:tc>
        <w:tc>
          <w:tcPr>
            <w:tcW w:w="887" w:type="dxa"/>
            <w:tcBorders>
              <w:top w:val="nil"/>
              <w:left w:val="nil"/>
              <w:bottom w:val="single" w:sz="8" w:space="0" w:color="auto"/>
              <w:right w:val="single" w:sz="4" w:space="0" w:color="auto"/>
            </w:tcBorders>
            <w:shd w:val="clear" w:color="000000" w:fill="D9E1F2"/>
            <w:noWrap/>
            <w:vAlign w:val="center"/>
            <w:hideMark/>
          </w:tcPr>
          <w:p w14:paraId="2C7CF0FF"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0.081</w:t>
            </w:r>
          </w:p>
        </w:tc>
      </w:tr>
      <w:tr w:rsidR="0027042D" w:rsidRPr="00E216B2" w14:paraId="114AB59E" w14:textId="77777777" w:rsidTr="0027042D">
        <w:trPr>
          <w:trHeight w:val="315"/>
        </w:trPr>
        <w:tc>
          <w:tcPr>
            <w:tcW w:w="8250" w:type="dxa"/>
            <w:gridSpan w:val="5"/>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1A964110"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revised estimates provided by Party and accepted by the ERT</w:t>
            </w:r>
          </w:p>
        </w:tc>
      </w:tr>
      <w:tr w:rsidR="0027042D" w:rsidRPr="00E216B2" w14:paraId="2EC7C30A" w14:textId="77777777" w:rsidTr="0027042D">
        <w:trPr>
          <w:trHeight w:val="315"/>
        </w:trPr>
        <w:tc>
          <w:tcPr>
            <w:tcW w:w="2741" w:type="dxa"/>
            <w:tcBorders>
              <w:top w:val="nil"/>
              <w:left w:val="single" w:sz="4" w:space="0" w:color="auto"/>
              <w:bottom w:val="single" w:sz="8" w:space="0" w:color="auto"/>
              <w:right w:val="single" w:sz="8" w:space="0" w:color="auto"/>
            </w:tcBorders>
            <w:shd w:val="clear" w:color="auto" w:fill="auto"/>
            <w:noWrap/>
            <w:vAlign w:val="center"/>
            <w:hideMark/>
          </w:tcPr>
          <w:p w14:paraId="24CE95F6"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 xml:space="preserve">2 K Consumption of POPs and heavy metals </w:t>
            </w:r>
          </w:p>
        </w:tc>
        <w:tc>
          <w:tcPr>
            <w:tcW w:w="2367" w:type="dxa"/>
            <w:tcBorders>
              <w:top w:val="nil"/>
              <w:left w:val="nil"/>
              <w:bottom w:val="single" w:sz="8" w:space="0" w:color="auto"/>
              <w:right w:val="single" w:sz="8" w:space="0" w:color="auto"/>
            </w:tcBorders>
            <w:shd w:val="clear" w:color="auto" w:fill="auto"/>
            <w:noWrap/>
            <w:vAlign w:val="center"/>
            <w:hideMark/>
          </w:tcPr>
          <w:p w14:paraId="245BC939"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429" w:type="dxa"/>
            <w:tcBorders>
              <w:top w:val="nil"/>
              <w:left w:val="nil"/>
              <w:bottom w:val="single" w:sz="8" w:space="0" w:color="auto"/>
              <w:right w:val="single" w:sz="8" w:space="0" w:color="auto"/>
            </w:tcBorders>
            <w:shd w:val="clear" w:color="auto" w:fill="auto"/>
            <w:noWrap/>
            <w:vAlign w:val="center"/>
            <w:hideMark/>
          </w:tcPr>
          <w:p w14:paraId="704354CA"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26" w:type="dxa"/>
            <w:tcBorders>
              <w:top w:val="nil"/>
              <w:left w:val="nil"/>
              <w:bottom w:val="single" w:sz="8" w:space="0" w:color="auto"/>
              <w:right w:val="single" w:sz="8" w:space="0" w:color="auto"/>
            </w:tcBorders>
            <w:shd w:val="clear" w:color="auto" w:fill="auto"/>
            <w:noWrap/>
            <w:vAlign w:val="center"/>
            <w:hideMark/>
          </w:tcPr>
          <w:p w14:paraId="6218B55A"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87" w:type="dxa"/>
            <w:tcBorders>
              <w:top w:val="nil"/>
              <w:left w:val="nil"/>
              <w:bottom w:val="single" w:sz="8" w:space="0" w:color="auto"/>
              <w:right w:val="single" w:sz="4" w:space="0" w:color="auto"/>
            </w:tcBorders>
            <w:shd w:val="clear" w:color="auto" w:fill="auto"/>
            <w:noWrap/>
            <w:vAlign w:val="center"/>
            <w:hideMark/>
          </w:tcPr>
          <w:p w14:paraId="68F23428"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r>
      <w:tr w:rsidR="0027042D" w:rsidRPr="00E216B2" w14:paraId="069FAC5A" w14:textId="77777777" w:rsidTr="0027042D">
        <w:trPr>
          <w:trHeight w:val="315"/>
        </w:trPr>
        <w:tc>
          <w:tcPr>
            <w:tcW w:w="8250" w:type="dxa"/>
            <w:gridSpan w:val="5"/>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1B3CCD60"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technical correction deemed necessary by the  ERT</w:t>
            </w:r>
          </w:p>
        </w:tc>
      </w:tr>
      <w:tr w:rsidR="0027042D" w:rsidRPr="00E216B2" w14:paraId="0E82F2D0" w14:textId="77777777" w:rsidTr="0027042D">
        <w:trPr>
          <w:trHeight w:val="315"/>
        </w:trPr>
        <w:tc>
          <w:tcPr>
            <w:tcW w:w="2741" w:type="dxa"/>
            <w:tcBorders>
              <w:top w:val="nil"/>
              <w:left w:val="single" w:sz="4" w:space="0" w:color="auto"/>
              <w:bottom w:val="single" w:sz="8" w:space="0" w:color="auto"/>
              <w:right w:val="single" w:sz="8" w:space="0" w:color="auto"/>
            </w:tcBorders>
            <w:shd w:val="clear" w:color="auto" w:fill="auto"/>
            <w:noWrap/>
            <w:vAlign w:val="center"/>
            <w:hideMark/>
          </w:tcPr>
          <w:p w14:paraId="4089A03A"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 xml:space="preserve">2 K Consumption of POPs and heavy metals </w:t>
            </w:r>
          </w:p>
        </w:tc>
        <w:tc>
          <w:tcPr>
            <w:tcW w:w="2367" w:type="dxa"/>
            <w:tcBorders>
              <w:top w:val="nil"/>
              <w:left w:val="nil"/>
              <w:bottom w:val="single" w:sz="8" w:space="0" w:color="auto"/>
              <w:right w:val="single" w:sz="8" w:space="0" w:color="auto"/>
            </w:tcBorders>
            <w:shd w:val="clear" w:color="auto" w:fill="auto"/>
            <w:noWrap/>
            <w:vAlign w:val="center"/>
            <w:hideMark/>
          </w:tcPr>
          <w:p w14:paraId="7AD496D3"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429" w:type="dxa"/>
            <w:tcBorders>
              <w:top w:val="nil"/>
              <w:left w:val="nil"/>
              <w:bottom w:val="single" w:sz="8" w:space="0" w:color="auto"/>
              <w:right w:val="single" w:sz="8" w:space="0" w:color="auto"/>
            </w:tcBorders>
            <w:shd w:val="clear" w:color="auto" w:fill="auto"/>
            <w:noWrap/>
            <w:vAlign w:val="center"/>
            <w:hideMark/>
          </w:tcPr>
          <w:p w14:paraId="48AB20FA"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62.21</w:t>
            </w:r>
          </w:p>
        </w:tc>
        <w:tc>
          <w:tcPr>
            <w:tcW w:w="826" w:type="dxa"/>
            <w:tcBorders>
              <w:top w:val="nil"/>
              <w:left w:val="nil"/>
              <w:bottom w:val="single" w:sz="8" w:space="0" w:color="auto"/>
              <w:right w:val="single" w:sz="8" w:space="0" w:color="auto"/>
            </w:tcBorders>
            <w:shd w:val="clear" w:color="auto" w:fill="auto"/>
            <w:noWrap/>
            <w:vAlign w:val="center"/>
            <w:hideMark/>
          </w:tcPr>
          <w:p w14:paraId="681CE844"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61.94</w:t>
            </w:r>
          </w:p>
        </w:tc>
        <w:tc>
          <w:tcPr>
            <w:tcW w:w="887" w:type="dxa"/>
            <w:tcBorders>
              <w:top w:val="nil"/>
              <w:left w:val="nil"/>
              <w:bottom w:val="single" w:sz="8" w:space="0" w:color="auto"/>
              <w:right w:val="single" w:sz="4" w:space="0" w:color="auto"/>
            </w:tcBorders>
            <w:shd w:val="clear" w:color="auto" w:fill="auto"/>
            <w:noWrap/>
            <w:vAlign w:val="center"/>
            <w:hideMark/>
          </w:tcPr>
          <w:p w14:paraId="3807638D" w14:textId="77777777" w:rsidR="0027042D" w:rsidRPr="00E216B2" w:rsidRDefault="0027042D" w:rsidP="00E216B2">
            <w:pPr>
              <w:jc w:val="right"/>
              <w:rPr>
                <w:rFonts w:ascii="Calibri" w:hAnsi="Calibri" w:cs="Calibri"/>
                <w:color w:val="000000"/>
                <w:sz w:val="20"/>
                <w:lang w:eastAsia="en-GB"/>
              </w:rPr>
            </w:pPr>
            <w:r w:rsidRPr="00E216B2">
              <w:rPr>
                <w:rFonts w:ascii="Calibri" w:hAnsi="Calibri" w:cs="Calibri"/>
                <w:color w:val="000000"/>
                <w:sz w:val="20"/>
                <w:lang w:eastAsia="en-GB"/>
              </w:rPr>
              <w:t>61.43</w:t>
            </w:r>
          </w:p>
        </w:tc>
      </w:tr>
      <w:tr w:rsidR="0027042D" w:rsidRPr="00E216B2" w14:paraId="79FDB9F2" w14:textId="77777777" w:rsidTr="0027042D">
        <w:trPr>
          <w:trHeight w:val="780"/>
        </w:trPr>
        <w:tc>
          <w:tcPr>
            <w:tcW w:w="2741" w:type="dxa"/>
            <w:tcBorders>
              <w:top w:val="nil"/>
              <w:left w:val="single" w:sz="4" w:space="0" w:color="auto"/>
              <w:bottom w:val="single" w:sz="8" w:space="0" w:color="auto"/>
              <w:right w:val="single" w:sz="8" w:space="0" w:color="auto"/>
            </w:tcBorders>
            <w:shd w:val="clear" w:color="000000" w:fill="D9E1F2"/>
            <w:vAlign w:val="center"/>
            <w:hideMark/>
          </w:tcPr>
          <w:p w14:paraId="200A8E58"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National total (row 141) including revised estimates and technical corrections accepted by MS</w:t>
            </w:r>
          </w:p>
        </w:tc>
        <w:tc>
          <w:tcPr>
            <w:tcW w:w="2367" w:type="dxa"/>
            <w:tcBorders>
              <w:top w:val="nil"/>
              <w:left w:val="nil"/>
              <w:bottom w:val="single" w:sz="8" w:space="0" w:color="auto"/>
              <w:right w:val="single" w:sz="8" w:space="0" w:color="auto"/>
            </w:tcBorders>
            <w:shd w:val="clear" w:color="000000" w:fill="D9E1F2"/>
            <w:vAlign w:val="center"/>
            <w:hideMark/>
          </w:tcPr>
          <w:p w14:paraId="500397F1" w14:textId="77777777" w:rsidR="0027042D" w:rsidRPr="00E216B2" w:rsidRDefault="0027042D" w:rsidP="00E216B2">
            <w:pPr>
              <w:rPr>
                <w:rFonts w:ascii="Calibri" w:hAnsi="Calibri" w:cs="Calibri"/>
                <w:color w:val="000000"/>
                <w:sz w:val="20"/>
                <w:lang w:eastAsia="en-GB"/>
              </w:rPr>
            </w:pPr>
            <w:r w:rsidRPr="00E216B2">
              <w:rPr>
                <w:rFonts w:ascii="Calibri" w:hAnsi="Calibri" w:cs="Calibri"/>
                <w:color w:val="000000"/>
                <w:sz w:val="20"/>
                <w:lang w:eastAsia="en-GB"/>
              </w:rPr>
              <w:t>Calculated using data above</w:t>
            </w:r>
          </w:p>
        </w:tc>
        <w:tc>
          <w:tcPr>
            <w:tcW w:w="1429" w:type="dxa"/>
            <w:tcBorders>
              <w:top w:val="nil"/>
              <w:left w:val="nil"/>
              <w:bottom w:val="single" w:sz="8" w:space="0" w:color="auto"/>
              <w:right w:val="single" w:sz="8" w:space="0" w:color="auto"/>
            </w:tcBorders>
            <w:shd w:val="clear" w:color="000000" w:fill="D9E1F2"/>
            <w:noWrap/>
            <w:vAlign w:val="center"/>
            <w:hideMark/>
          </w:tcPr>
          <w:p w14:paraId="34E8C774"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62.248</w:t>
            </w:r>
          </w:p>
        </w:tc>
        <w:tc>
          <w:tcPr>
            <w:tcW w:w="826" w:type="dxa"/>
            <w:tcBorders>
              <w:top w:val="nil"/>
              <w:left w:val="nil"/>
              <w:bottom w:val="single" w:sz="8" w:space="0" w:color="auto"/>
              <w:right w:val="single" w:sz="8" w:space="0" w:color="auto"/>
            </w:tcBorders>
            <w:shd w:val="clear" w:color="000000" w:fill="D9E1F2"/>
            <w:noWrap/>
            <w:vAlign w:val="center"/>
            <w:hideMark/>
          </w:tcPr>
          <w:p w14:paraId="61386AE1"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61.977</w:t>
            </w:r>
          </w:p>
        </w:tc>
        <w:tc>
          <w:tcPr>
            <w:tcW w:w="887" w:type="dxa"/>
            <w:tcBorders>
              <w:top w:val="nil"/>
              <w:left w:val="nil"/>
              <w:bottom w:val="single" w:sz="8" w:space="0" w:color="auto"/>
              <w:right w:val="single" w:sz="4" w:space="0" w:color="auto"/>
            </w:tcBorders>
            <w:shd w:val="clear" w:color="000000" w:fill="D9E1F2"/>
            <w:noWrap/>
            <w:vAlign w:val="center"/>
            <w:hideMark/>
          </w:tcPr>
          <w:p w14:paraId="4C692D5A" w14:textId="77777777" w:rsidR="0027042D" w:rsidRPr="00E216B2" w:rsidRDefault="0027042D"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61.507</w:t>
            </w:r>
          </w:p>
        </w:tc>
      </w:tr>
    </w:tbl>
    <w:p w14:paraId="34901C2D" w14:textId="77777777" w:rsidR="00C94F61" w:rsidRDefault="00C94F61">
      <w:r>
        <w:br w:type="page"/>
      </w:r>
    </w:p>
    <w:tbl>
      <w:tblPr>
        <w:tblW w:w="8240" w:type="dxa"/>
        <w:tblLook w:val="04A0" w:firstRow="1" w:lastRow="0" w:firstColumn="1" w:lastColumn="0" w:noHBand="0" w:noVBand="1"/>
      </w:tblPr>
      <w:tblGrid>
        <w:gridCol w:w="2684"/>
        <w:gridCol w:w="2414"/>
        <w:gridCol w:w="1429"/>
        <w:gridCol w:w="826"/>
        <w:gridCol w:w="887"/>
      </w:tblGrid>
      <w:tr w:rsidR="00E216B2" w:rsidRPr="00E216B2" w14:paraId="28A029CF" w14:textId="77777777" w:rsidTr="00C94F61">
        <w:trPr>
          <w:trHeight w:val="315"/>
        </w:trPr>
        <w:tc>
          <w:tcPr>
            <w:tcW w:w="2684" w:type="dxa"/>
            <w:tcBorders>
              <w:top w:val="single" w:sz="8" w:space="0" w:color="auto"/>
              <w:left w:val="single" w:sz="4" w:space="0" w:color="auto"/>
              <w:bottom w:val="single" w:sz="8" w:space="0" w:color="auto"/>
              <w:right w:val="nil"/>
            </w:tcBorders>
            <w:shd w:val="clear" w:color="000000" w:fill="8EA9DB"/>
            <w:noWrap/>
            <w:vAlign w:val="center"/>
            <w:hideMark/>
          </w:tcPr>
          <w:p w14:paraId="766FC2DF"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lastRenderedPageBreak/>
              <w:t>NMVOC</w:t>
            </w:r>
          </w:p>
        </w:tc>
        <w:tc>
          <w:tcPr>
            <w:tcW w:w="2414" w:type="dxa"/>
            <w:tcBorders>
              <w:top w:val="single" w:sz="8" w:space="0" w:color="auto"/>
              <w:left w:val="nil"/>
              <w:bottom w:val="single" w:sz="8" w:space="0" w:color="auto"/>
              <w:right w:val="nil"/>
            </w:tcBorders>
            <w:shd w:val="clear" w:color="000000" w:fill="8EA9DB"/>
            <w:noWrap/>
            <w:vAlign w:val="center"/>
            <w:hideMark/>
          </w:tcPr>
          <w:p w14:paraId="3893E969"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 </w:t>
            </w:r>
          </w:p>
        </w:tc>
        <w:tc>
          <w:tcPr>
            <w:tcW w:w="3142" w:type="dxa"/>
            <w:gridSpan w:val="3"/>
            <w:tcBorders>
              <w:top w:val="single" w:sz="8" w:space="0" w:color="auto"/>
              <w:left w:val="single" w:sz="8" w:space="0" w:color="auto"/>
              <w:bottom w:val="single" w:sz="8" w:space="0" w:color="auto"/>
              <w:right w:val="single" w:sz="4" w:space="0" w:color="auto"/>
            </w:tcBorders>
            <w:shd w:val="clear" w:color="000000" w:fill="8EA9DB"/>
            <w:noWrap/>
            <w:vAlign w:val="center"/>
            <w:hideMark/>
          </w:tcPr>
          <w:p w14:paraId="1D6E397D" w14:textId="77777777" w:rsidR="00E216B2" w:rsidRPr="00E216B2" w:rsidRDefault="00E216B2" w:rsidP="00E216B2">
            <w:pPr>
              <w:jc w:val="center"/>
              <w:rPr>
                <w:rFonts w:ascii="Calibri" w:hAnsi="Calibri" w:cs="Calibri"/>
                <w:b/>
                <w:bCs/>
                <w:color w:val="000000"/>
                <w:sz w:val="20"/>
                <w:lang w:eastAsia="en-GB"/>
              </w:rPr>
            </w:pPr>
            <w:r w:rsidRPr="00E216B2">
              <w:rPr>
                <w:rFonts w:ascii="Calibri" w:hAnsi="Calibri" w:cs="Calibri"/>
                <w:b/>
                <w:bCs/>
                <w:color w:val="000000"/>
                <w:sz w:val="20"/>
                <w:lang w:eastAsia="en-GB"/>
              </w:rPr>
              <w:t>Pollutant estimates (kt)</w:t>
            </w:r>
          </w:p>
        </w:tc>
      </w:tr>
      <w:tr w:rsidR="00E216B2" w:rsidRPr="00E216B2" w14:paraId="44FB056F" w14:textId="77777777" w:rsidTr="00C94F61">
        <w:trPr>
          <w:trHeight w:val="315"/>
        </w:trPr>
        <w:tc>
          <w:tcPr>
            <w:tcW w:w="2684" w:type="dxa"/>
            <w:tcBorders>
              <w:top w:val="nil"/>
              <w:left w:val="single" w:sz="4" w:space="0" w:color="auto"/>
              <w:bottom w:val="single" w:sz="8" w:space="0" w:color="auto"/>
              <w:right w:val="single" w:sz="8" w:space="0" w:color="auto"/>
            </w:tcBorders>
            <w:shd w:val="clear" w:color="000000" w:fill="D9E1F2"/>
            <w:noWrap/>
            <w:vAlign w:val="center"/>
            <w:hideMark/>
          </w:tcPr>
          <w:p w14:paraId="2370A2EC"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National total as reported 2019 (row 141)</w:t>
            </w:r>
          </w:p>
        </w:tc>
        <w:tc>
          <w:tcPr>
            <w:tcW w:w="2414" w:type="dxa"/>
            <w:tcBorders>
              <w:top w:val="nil"/>
              <w:left w:val="nil"/>
              <w:bottom w:val="single" w:sz="8" w:space="0" w:color="auto"/>
              <w:right w:val="single" w:sz="8" w:space="0" w:color="auto"/>
            </w:tcBorders>
            <w:shd w:val="clear" w:color="000000" w:fill="D9E1F2"/>
            <w:noWrap/>
            <w:vAlign w:val="center"/>
            <w:hideMark/>
          </w:tcPr>
          <w:p w14:paraId="3326FE78"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Annex I, 15 February 2021</w:t>
            </w:r>
          </w:p>
        </w:tc>
        <w:tc>
          <w:tcPr>
            <w:tcW w:w="1429" w:type="dxa"/>
            <w:tcBorders>
              <w:top w:val="nil"/>
              <w:left w:val="nil"/>
              <w:bottom w:val="single" w:sz="8" w:space="0" w:color="auto"/>
              <w:right w:val="single" w:sz="8" w:space="0" w:color="auto"/>
            </w:tcBorders>
            <w:shd w:val="clear" w:color="000000" w:fill="D9E1F2"/>
            <w:noWrap/>
            <w:vAlign w:val="center"/>
            <w:hideMark/>
          </w:tcPr>
          <w:p w14:paraId="79FD070D"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8.55</w:t>
            </w:r>
          </w:p>
        </w:tc>
        <w:tc>
          <w:tcPr>
            <w:tcW w:w="826" w:type="dxa"/>
            <w:tcBorders>
              <w:top w:val="nil"/>
              <w:left w:val="nil"/>
              <w:bottom w:val="single" w:sz="8" w:space="0" w:color="auto"/>
              <w:right w:val="single" w:sz="8" w:space="0" w:color="auto"/>
            </w:tcBorders>
            <w:shd w:val="clear" w:color="000000" w:fill="D9E1F2"/>
            <w:noWrap/>
            <w:vAlign w:val="center"/>
            <w:hideMark/>
          </w:tcPr>
          <w:p w14:paraId="7B04662B"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9.741</w:t>
            </w:r>
          </w:p>
        </w:tc>
        <w:tc>
          <w:tcPr>
            <w:tcW w:w="887" w:type="dxa"/>
            <w:tcBorders>
              <w:top w:val="nil"/>
              <w:left w:val="nil"/>
              <w:bottom w:val="single" w:sz="8" w:space="0" w:color="auto"/>
              <w:right w:val="single" w:sz="4" w:space="0" w:color="auto"/>
            </w:tcBorders>
            <w:shd w:val="clear" w:color="000000" w:fill="D9E1F2"/>
            <w:noWrap/>
            <w:vAlign w:val="center"/>
            <w:hideMark/>
          </w:tcPr>
          <w:p w14:paraId="72D087EA"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8.362</w:t>
            </w:r>
          </w:p>
        </w:tc>
      </w:tr>
      <w:tr w:rsidR="00E216B2" w:rsidRPr="00E216B2" w14:paraId="0980B263" w14:textId="77777777" w:rsidTr="00C94F61">
        <w:trPr>
          <w:trHeight w:val="315"/>
        </w:trPr>
        <w:tc>
          <w:tcPr>
            <w:tcW w:w="8240" w:type="dxa"/>
            <w:gridSpan w:val="5"/>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6D0C3CAD"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revised estimates provided by Party and accepted by the ERT</w:t>
            </w:r>
          </w:p>
        </w:tc>
      </w:tr>
      <w:tr w:rsidR="00E216B2" w:rsidRPr="00E216B2" w14:paraId="76166294" w14:textId="77777777" w:rsidTr="00C94F61">
        <w:trPr>
          <w:trHeight w:val="315"/>
        </w:trPr>
        <w:tc>
          <w:tcPr>
            <w:tcW w:w="2684" w:type="dxa"/>
            <w:tcBorders>
              <w:top w:val="nil"/>
              <w:left w:val="single" w:sz="4" w:space="0" w:color="auto"/>
              <w:bottom w:val="single" w:sz="8" w:space="0" w:color="auto"/>
              <w:right w:val="single" w:sz="8" w:space="0" w:color="auto"/>
            </w:tcBorders>
            <w:shd w:val="clear" w:color="auto" w:fill="auto"/>
            <w:noWrap/>
            <w:vAlign w:val="center"/>
            <w:hideMark/>
          </w:tcPr>
          <w:p w14:paraId="2948250E"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414" w:type="dxa"/>
            <w:tcBorders>
              <w:top w:val="nil"/>
              <w:left w:val="nil"/>
              <w:bottom w:val="single" w:sz="8" w:space="0" w:color="auto"/>
              <w:right w:val="single" w:sz="8" w:space="0" w:color="auto"/>
            </w:tcBorders>
            <w:shd w:val="clear" w:color="auto" w:fill="auto"/>
            <w:noWrap/>
            <w:vAlign w:val="center"/>
            <w:hideMark/>
          </w:tcPr>
          <w:p w14:paraId="4FC2608D"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429" w:type="dxa"/>
            <w:tcBorders>
              <w:top w:val="nil"/>
              <w:left w:val="nil"/>
              <w:bottom w:val="single" w:sz="8" w:space="0" w:color="auto"/>
              <w:right w:val="single" w:sz="8" w:space="0" w:color="auto"/>
            </w:tcBorders>
            <w:shd w:val="clear" w:color="auto" w:fill="auto"/>
            <w:noWrap/>
            <w:vAlign w:val="center"/>
            <w:hideMark/>
          </w:tcPr>
          <w:p w14:paraId="6EFEF296"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0.0034</w:t>
            </w:r>
          </w:p>
        </w:tc>
        <w:tc>
          <w:tcPr>
            <w:tcW w:w="826" w:type="dxa"/>
            <w:tcBorders>
              <w:top w:val="nil"/>
              <w:left w:val="nil"/>
              <w:bottom w:val="single" w:sz="8" w:space="0" w:color="auto"/>
              <w:right w:val="single" w:sz="8" w:space="0" w:color="auto"/>
            </w:tcBorders>
            <w:shd w:val="clear" w:color="auto" w:fill="auto"/>
            <w:noWrap/>
            <w:vAlign w:val="center"/>
            <w:hideMark/>
          </w:tcPr>
          <w:p w14:paraId="45AD5DE0"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0.0046</w:t>
            </w:r>
          </w:p>
        </w:tc>
        <w:tc>
          <w:tcPr>
            <w:tcW w:w="887" w:type="dxa"/>
            <w:tcBorders>
              <w:top w:val="nil"/>
              <w:left w:val="nil"/>
              <w:bottom w:val="single" w:sz="8" w:space="0" w:color="auto"/>
              <w:right w:val="single" w:sz="4" w:space="0" w:color="auto"/>
            </w:tcBorders>
            <w:shd w:val="clear" w:color="auto" w:fill="auto"/>
            <w:noWrap/>
            <w:vAlign w:val="center"/>
            <w:hideMark/>
          </w:tcPr>
          <w:p w14:paraId="26F73E1B"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0.0004</w:t>
            </w:r>
          </w:p>
        </w:tc>
      </w:tr>
      <w:tr w:rsidR="00E216B2" w:rsidRPr="00E216B2" w14:paraId="7A8A7022" w14:textId="77777777" w:rsidTr="00C94F61">
        <w:trPr>
          <w:trHeight w:val="315"/>
        </w:trPr>
        <w:tc>
          <w:tcPr>
            <w:tcW w:w="2684" w:type="dxa"/>
            <w:tcBorders>
              <w:top w:val="nil"/>
              <w:left w:val="single" w:sz="4" w:space="0" w:color="auto"/>
              <w:bottom w:val="single" w:sz="8" w:space="0" w:color="auto"/>
              <w:right w:val="single" w:sz="8" w:space="0" w:color="auto"/>
            </w:tcBorders>
            <w:shd w:val="clear" w:color="auto" w:fill="auto"/>
            <w:noWrap/>
            <w:vAlign w:val="bottom"/>
            <w:hideMark/>
          </w:tcPr>
          <w:p w14:paraId="53D0C0A0"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2D3f Dry cleaning</w:t>
            </w:r>
          </w:p>
        </w:tc>
        <w:tc>
          <w:tcPr>
            <w:tcW w:w="2414" w:type="dxa"/>
            <w:tcBorders>
              <w:top w:val="nil"/>
              <w:left w:val="nil"/>
              <w:bottom w:val="single" w:sz="8" w:space="0" w:color="auto"/>
              <w:right w:val="single" w:sz="8" w:space="0" w:color="auto"/>
            </w:tcBorders>
            <w:shd w:val="clear" w:color="auto" w:fill="auto"/>
            <w:noWrap/>
            <w:vAlign w:val="center"/>
            <w:hideMark/>
          </w:tcPr>
          <w:p w14:paraId="0A7A9385"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429" w:type="dxa"/>
            <w:tcBorders>
              <w:top w:val="nil"/>
              <w:left w:val="nil"/>
              <w:bottom w:val="single" w:sz="8" w:space="0" w:color="auto"/>
              <w:right w:val="single" w:sz="8" w:space="0" w:color="auto"/>
            </w:tcBorders>
            <w:shd w:val="clear" w:color="auto" w:fill="auto"/>
            <w:noWrap/>
            <w:vAlign w:val="center"/>
            <w:hideMark/>
          </w:tcPr>
          <w:p w14:paraId="1B79FD2E"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26" w:type="dxa"/>
            <w:tcBorders>
              <w:top w:val="nil"/>
              <w:left w:val="nil"/>
              <w:bottom w:val="single" w:sz="8" w:space="0" w:color="auto"/>
              <w:right w:val="single" w:sz="8" w:space="0" w:color="auto"/>
            </w:tcBorders>
            <w:shd w:val="clear" w:color="auto" w:fill="auto"/>
            <w:noWrap/>
            <w:vAlign w:val="center"/>
            <w:hideMark/>
          </w:tcPr>
          <w:p w14:paraId="31F29977"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87" w:type="dxa"/>
            <w:tcBorders>
              <w:top w:val="nil"/>
              <w:left w:val="nil"/>
              <w:bottom w:val="single" w:sz="8" w:space="0" w:color="auto"/>
              <w:right w:val="single" w:sz="4" w:space="0" w:color="auto"/>
            </w:tcBorders>
            <w:shd w:val="clear" w:color="auto" w:fill="auto"/>
            <w:noWrap/>
            <w:vAlign w:val="center"/>
            <w:hideMark/>
          </w:tcPr>
          <w:p w14:paraId="42F63635"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r>
      <w:tr w:rsidR="00E216B2" w:rsidRPr="00E216B2" w14:paraId="1ADAAA71" w14:textId="77777777" w:rsidTr="00C94F61">
        <w:trPr>
          <w:trHeight w:val="315"/>
        </w:trPr>
        <w:tc>
          <w:tcPr>
            <w:tcW w:w="8240" w:type="dxa"/>
            <w:gridSpan w:val="5"/>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2BFCC33C"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technical correction deemed necessary by the  ERT</w:t>
            </w:r>
          </w:p>
        </w:tc>
      </w:tr>
      <w:tr w:rsidR="00E216B2" w:rsidRPr="00E216B2" w14:paraId="2B377D84" w14:textId="77777777" w:rsidTr="00C94F61">
        <w:trPr>
          <w:trHeight w:val="315"/>
        </w:trPr>
        <w:tc>
          <w:tcPr>
            <w:tcW w:w="2684" w:type="dxa"/>
            <w:tcBorders>
              <w:top w:val="nil"/>
              <w:left w:val="single" w:sz="4" w:space="0" w:color="auto"/>
              <w:bottom w:val="single" w:sz="8" w:space="0" w:color="auto"/>
              <w:right w:val="single" w:sz="8" w:space="0" w:color="auto"/>
            </w:tcBorders>
            <w:shd w:val="clear" w:color="auto" w:fill="auto"/>
            <w:noWrap/>
            <w:vAlign w:val="center"/>
            <w:hideMark/>
          </w:tcPr>
          <w:p w14:paraId="51C97C21"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414" w:type="dxa"/>
            <w:tcBorders>
              <w:top w:val="nil"/>
              <w:left w:val="nil"/>
              <w:bottom w:val="single" w:sz="8" w:space="0" w:color="auto"/>
              <w:right w:val="single" w:sz="8" w:space="0" w:color="auto"/>
            </w:tcBorders>
            <w:shd w:val="clear" w:color="auto" w:fill="auto"/>
            <w:noWrap/>
            <w:vAlign w:val="center"/>
            <w:hideMark/>
          </w:tcPr>
          <w:p w14:paraId="39ABD7FA"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429" w:type="dxa"/>
            <w:tcBorders>
              <w:top w:val="nil"/>
              <w:left w:val="nil"/>
              <w:bottom w:val="single" w:sz="8" w:space="0" w:color="auto"/>
              <w:right w:val="single" w:sz="8" w:space="0" w:color="auto"/>
            </w:tcBorders>
            <w:shd w:val="clear" w:color="auto" w:fill="auto"/>
            <w:noWrap/>
            <w:vAlign w:val="center"/>
            <w:hideMark/>
          </w:tcPr>
          <w:p w14:paraId="1089716F"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26" w:type="dxa"/>
            <w:tcBorders>
              <w:top w:val="nil"/>
              <w:left w:val="nil"/>
              <w:bottom w:val="single" w:sz="8" w:space="0" w:color="auto"/>
              <w:right w:val="single" w:sz="8" w:space="0" w:color="auto"/>
            </w:tcBorders>
            <w:shd w:val="clear" w:color="auto" w:fill="auto"/>
            <w:noWrap/>
            <w:vAlign w:val="center"/>
            <w:hideMark/>
          </w:tcPr>
          <w:p w14:paraId="03D15A1D"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87" w:type="dxa"/>
            <w:tcBorders>
              <w:top w:val="nil"/>
              <w:left w:val="nil"/>
              <w:bottom w:val="single" w:sz="8" w:space="0" w:color="auto"/>
              <w:right w:val="single" w:sz="4" w:space="0" w:color="auto"/>
            </w:tcBorders>
            <w:shd w:val="clear" w:color="auto" w:fill="auto"/>
            <w:noWrap/>
            <w:vAlign w:val="center"/>
            <w:hideMark/>
          </w:tcPr>
          <w:p w14:paraId="117AB326"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r>
      <w:tr w:rsidR="00E216B2" w:rsidRPr="00E216B2" w14:paraId="7ED09294" w14:textId="77777777" w:rsidTr="00C94F61">
        <w:trPr>
          <w:trHeight w:val="315"/>
        </w:trPr>
        <w:tc>
          <w:tcPr>
            <w:tcW w:w="2684" w:type="dxa"/>
            <w:tcBorders>
              <w:top w:val="nil"/>
              <w:left w:val="single" w:sz="4" w:space="0" w:color="auto"/>
              <w:bottom w:val="single" w:sz="8" w:space="0" w:color="auto"/>
              <w:right w:val="single" w:sz="8" w:space="0" w:color="auto"/>
            </w:tcBorders>
            <w:shd w:val="clear" w:color="auto" w:fill="auto"/>
            <w:noWrap/>
            <w:vAlign w:val="bottom"/>
            <w:hideMark/>
          </w:tcPr>
          <w:p w14:paraId="0AD6FA16"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2D3f Dry cleaning</w:t>
            </w:r>
          </w:p>
        </w:tc>
        <w:tc>
          <w:tcPr>
            <w:tcW w:w="2414" w:type="dxa"/>
            <w:tcBorders>
              <w:top w:val="nil"/>
              <w:left w:val="nil"/>
              <w:bottom w:val="single" w:sz="8" w:space="0" w:color="auto"/>
              <w:right w:val="single" w:sz="8" w:space="0" w:color="auto"/>
            </w:tcBorders>
            <w:shd w:val="clear" w:color="auto" w:fill="auto"/>
            <w:noWrap/>
            <w:vAlign w:val="center"/>
            <w:hideMark/>
          </w:tcPr>
          <w:p w14:paraId="7444DC41"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429" w:type="dxa"/>
            <w:tcBorders>
              <w:top w:val="nil"/>
              <w:left w:val="nil"/>
              <w:bottom w:val="single" w:sz="8" w:space="0" w:color="auto"/>
              <w:right w:val="single" w:sz="8" w:space="0" w:color="auto"/>
            </w:tcBorders>
            <w:shd w:val="clear" w:color="auto" w:fill="auto"/>
            <w:noWrap/>
            <w:vAlign w:val="center"/>
            <w:hideMark/>
          </w:tcPr>
          <w:p w14:paraId="10C2A7A5"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0.187</w:t>
            </w:r>
          </w:p>
        </w:tc>
        <w:tc>
          <w:tcPr>
            <w:tcW w:w="826" w:type="dxa"/>
            <w:tcBorders>
              <w:top w:val="nil"/>
              <w:left w:val="nil"/>
              <w:bottom w:val="single" w:sz="8" w:space="0" w:color="auto"/>
              <w:right w:val="single" w:sz="8" w:space="0" w:color="auto"/>
            </w:tcBorders>
            <w:shd w:val="clear" w:color="auto" w:fill="auto"/>
            <w:noWrap/>
            <w:vAlign w:val="center"/>
            <w:hideMark/>
          </w:tcPr>
          <w:p w14:paraId="16A62C80"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0.186</w:t>
            </w:r>
          </w:p>
        </w:tc>
        <w:tc>
          <w:tcPr>
            <w:tcW w:w="887" w:type="dxa"/>
            <w:tcBorders>
              <w:top w:val="nil"/>
              <w:left w:val="nil"/>
              <w:bottom w:val="single" w:sz="8" w:space="0" w:color="auto"/>
              <w:right w:val="single" w:sz="4" w:space="0" w:color="auto"/>
            </w:tcBorders>
            <w:shd w:val="clear" w:color="auto" w:fill="auto"/>
            <w:noWrap/>
            <w:vAlign w:val="center"/>
            <w:hideMark/>
          </w:tcPr>
          <w:p w14:paraId="0005EFE3"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0.184</w:t>
            </w:r>
          </w:p>
        </w:tc>
      </w:tr>
      <w:tr w:rsidR="00E216B2" w:rsidRPr="00E216B2" w14:paraId="156A742C" w14:textId="77777777" w:rsidTr="00C94F61">
        <w:trPr>
          <w:trHeight w:val="780"/>
        </w:trPr>
        <w:tc>
          <w:tcPr>
            <w:tcW w:w="2684" w:type="dxa"/>
            <w:tcBorders>
              <w:top w:val="nil"/>
              <w:left w:val="single" w:sz="4" w:space="0" w:color="auto"/>
              <w:bottom w:val="single" w:sz="4" w:space="0" w:color="auto"/>
              <w:right w:val="single" w:sz="8" w:space="0" w:color="auto"/>
            </w:tcBorders>
            <w:shd w:val="clear" w:color="000000" w:fill="D9E1F2"/>
            <w:vAlign w:val="center"/>
            <w:hideMark/>
          </w:tcPr>
          <w:p w14:paraId="22944409"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National total (row 141) including revised estimates and technical corrections accepted by MS</w:t>
            </w:r>
          </w:p>
        </w:tc>
        <w:tc>
          <w:tcPr>
            <w:tcW w:w="2414" w:type="dxa"/>
            <w:tcBorders>
              <w:top w:val="nil"/>
              <w:left w:val="nil"/>
              <w:bottom w:val="single" w:sz="4" w:space="0" w:color="auto"/>
              <w:right w:val="single" w:sz="8" w:space="0" w:color="auto"/>
            </w:tcBorders>
            <w:shd w:val="clear" w:color="000000" w:fill="D9E1F2"/>
            <w:vAlign w:val="center"/>
            <w:hideMark/>
          </w:tcPr>
          <w:p w14:paraId="2D02CFE2"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Calculated using data above</w:t>
            </w:r>
          </w:p>
        </w:tc>
        <w:tc>
          <w:tcPr>
            <w:tcW w:w="1429" w:type="dxa"/>
            <w:tcBorders>
              <w:top w:val="nil"/>
              <w:left w:val="nil"/>
              <w:bottom w:val="single" w:sz="4" w:space="0" w:color="auto"/>
              <w:right w:val="single" w:sz="8" w:space="0" w:color="auto"/>
            </w:tcBorders>
            <w:shd w:val="clear" w:color="000000" w:fill="D9E1F2"/>
            <w:noWrap/>
            <w:vAlign w:val="center"/>
            <w:hideMark/>
          </w:tcPr>
          <w:p w14:paraId="5FEDD6EF"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8.74</w:t>
            </w:r>
          </w:p>
        </w:tc>
        <w:tc>
          <w:tcPr>
            <w:tcW w:w="826" w:type="dxa"/>
            <w:tcBorders>
              <w:top w:val="nil"/>
              <w:left w:val="nil"/>
              <w:bottom w:val="single" w:sz="4" w:space="0" w:color="auto"/>
              <w:right w:val="single" w:sz="8" w:space="0" w:color="auto"/>
            </w:tcBorders>
            <w:shd w:val="clear" w:color="000000" w:fill="D9E1F2"/>
            <w:noWrap/>
            <w:vAlign w:val="center"/>
            <w:hideMark/>
          </w:tcPr>
          <w:p w14:paraId="425B73C1"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9.93</w:t>
            </w:r>
          </w:p>
        </w:tc>
        <w:tc>
          <w:tcPr>
            <w:tcW w:w="887" w:type="dxa"/>
            <w:tcBorders>
              <w:top w:val="nil"/>
              <w:left w:val="nil"/>
              <w:bottom w:val="single" w:sz="4" w:space="0" w:color="auto"/>
              <w:right w:val="single" w:sz="4" w:space="0" w:color="auto"/>
            </w:tcBorders>
            <w:shd w:val="clear" w:color="000000" w:fill="D9E1F2"/>
            <w:noWrap/>
            <w:vAlign w:val="center"/>
            <w:hideMark/>
          </w:tcPr>
          <w:p w14:paraId="4974804A"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8.55</w:t>
            </w:r>
          </w:p>
        </w:tc>
      </w:tr>
    </w:tbl>
    <w:p w14:paraId="55CAD085" w14:textId="5A249EC4" w:rsidR="00E216B2" w:rsidRDefault="00E216B2" w:rsidP="00E216B2">
      <w:pPr>
        <w:pStyle w:val="Annex"/>
        <w:numPr>
          <w:ilvl w:val="0"/>
          <w:numId w:val="0"/>
        </w:numPr>
        <w:jc w:val="left"/>
      </w:pPr>
    </w:p>
    <w:tbl>
      <w:tblPr>
        <w:tblW w:w="8278" w:type="dxa"/>
        <w:tblInd w:w="-10" w:type="dxa"/>
        <w:tblLook w:val="04A0" w:firstRow="1" w:lastRow="0" w:firstColumn="1" w:lastColumn="0" w:noHBand="0" w:noVBand="1"/>
      </w:tblPr>
      <w:tblGrid>
        <w:gridCol w:w="15"/>
        <w:gridCol w:w="2692"/>
        <w:gridCol w:w="34"/>
        <w:gridCol w:w="2367"/>
        <w:gridCol w:w="413"/>
        <w:gridCol w:w="1021"/>
        <w:gridCol w:w="826"/>
        <w:gridCol w:w="14"/>
        <w:gridCol w:w="873"/>
        <w:gridCol w:w="23"/>
      </w:tblGrid>
      <w:tr w:rsidR="0027042D" w:rsidRPr="00E216B2" w14:paraId="7D5EC100" w14:textId="77777777" w:rsidTr="00C94F61">
        <w:trPr>
          <w:gridAfter w:val="1"/>
          <w:wAfter w:w="23" w:type="dxa"/>
          <w:trHeight w:val="315"/>
        </w:trPr>
        <w:tc>
          <w:tcPr>
            <w:tcW w:w="2741" w:type="dxa"/>
            <w:gridSpan w:val="3"/>
            <w:vMerge w:val="restart"/>
            <w:tcBorders>
              <w:top w:val="single" w:sz="4" w:space="0" w:color="auto"/>
              <w:left w:val="single" w:sz="4" w:space="0" w:color="auto"/>
              <w:bottom w:val="single" w:sz="8" w:space="0" w:color="000000"/>
              <w:right w:val="single" w:sz="8" w:space="0" w:color="auto"/>
            </w:tcBorders>
            <w:shd w:val="clear" w:color="000000" w:fill="305496"/>
            <w:noWrap/>
            <w:vAlign w:val="center"/>
            <w:hideMark/>
          </w:tcPr>
          <w:p w14:paraId="36274CD4" w14:textId="77777777" w:rsidR="0027042D" w:rsidRPr="00E216B2" w:rsidRDefault="0027042D" w:rsidP="0027042D">
            <w:pPr>
              <w:rPr>
                <w:rFonts w:ascii="Calibri" w:hAnsi="Calibri" w:cs="Calibri"/>
                <w:b/>
                <w:bCs/>
                <w:color w:val="FFFFFF"/>
                <w:sz w:val="20"/>
                <w:lang w:eastAsia="en-GB"/>
              </w:rPr>
            </w:pPr>
            <w:r w:rsidRPr="00E216B2">
              <w:rPr>
                <w:rFonts w:ascii="Calibri" w:hAnsi="Calibri" w:cs="Calibri"/>
                <w:b/>
                <w:bCs/>
                <w:color w:val="FFFFFF"/>
                <w:sz w:val="20"/>
                <w:lang w:eastAsia="en-GB"/>
              </w:rPr>
              <w:t>Description</w:t>
            </w:r>
          </w:p>
        </w:tc>
        <w:tc>
          <w:tcPr>
            <w:tcW w:w="2367" w:type="dxa"/>
            <w:vMerge w:val="restart"/>
            <w:tcBorders>
              <w:top w:val="single" w:sz="4" w:space="0" w:color="auto"/>
              <w:left w:val="single" w:sz="8" w:space="0" w:color="auto"/>
              <w:bottom w:val="single" w:sz="8" w:space="0" w:color="000000"/>
              <w:right w:val="single" w:sz="8" w:space="0" w:color="auto"/>
            </w:tcBorders>
            <w:shd w:val="clear" w:color="000000" w:fill="305496"/>
            <w:noWrap/>
            <w:vAlign w:val="center"/>
            <w:hideMark/>
          </w:tcPr>
          <w:p w14:paraId="1CBB2AF9" w14:textId="77777777" w:rsidR="0027042D" w:rsidRPr="00E216B2" w:rsidRDefault="0027042D" w:rsidP="0027042D">
            <w:pPr>
              <w:rPr>
                <w:rFonts w:ascii="Calibri" w:hAnsi="Calibri" w:cs="Calibri"/>
                <w:b/>
                <w:bCs/>
                <w:color w:val="FFFFFF"/>
                <w:sz w:val="20"/>
                <w:lang w:eastAsia="en-GB"/>
              </w:rPr>
            </w:pPr>
            <w:r w:rsidRPr="00E216B2">
              <w:rPr>
                <w:rFonts w:ascii="Calibri" w:hAnsi="Calibri" w:cs="Calibri"/>
                <w:b/>
                <w:bCs/>
                <w:color w:val="FFFFFF"/>
                <w:sz w:val="20"/>
                <w:lang w:eastAsia="en-GB"/>
              </w:rPr>
              <w:t>Reference</w:t>
            </w:r>
          </w:p>
        </w:tc>
        <w:tc>
          <w:tcPr>
            <w:tcW w:w="3147" w:type="dxa"/>
            <w:gridSpan w:val="5"/>
            <w:tcBorders>
              <w:top w:val="single" w:sz="4" w:space="0" w:color="auto"/>
              <w:left w:val="nil"/>
              <w:bottom w:val="single" w:sz="8" w:space="0" w:color="auto"/>
              <w:right w:val="single" w:sz="4" w:space="0" w:color="auto"/>
            </w:tcBorders>
            <w:shd w:val="clear" w:color="000000" w:fill="305496"/>
            <w:noWrap/>
            <w:vAlign w:val="center"/>
            <w:hideMark/>
          </w:tcPr>
          <w:p w14:paraId="536C50A6" w14:textId="77777777" w:rsidR="0027042D" w:rsidRPr="00E216B2" w:rsidRDefault="0027042D" w:rsidP="0027042D">
            <w:pPr>
              <w:jc w:val="center"/>
              <w:rPr>
                <w:rFonts w:ascii="Calibri" w:hAnsi="Calibri" w:cs="Calibri"/>
                <w:b/>
                <w:bCs/>
                <w:color w:val="FFFFFF"/>
                <w:sz w:val="20"/>
                <w:lang w:eastAsia="en-GB"/>
              </w:rPr>
            </w:pPr>
            <w:r w:rsidRPr="00E216B2">
              <w:rPr>
                <w:rFonts w:ascii="Calibri" w:hAnsi="Calibri" w:cs="Calibri"/>
                <w:b/>
                <w:bCs/>
                <w:color w:val="FFFFFF"/>
                <w:sz w:val="20"/>
                <w:lang w:eastAsia="en-GB"/>
              </w:rPr>
              <w:t>Pollutant estimates</w:t>
            </w:r>
          </w:p>
        </w:tc>
      </w:tr>
      <w:tr w:rsidR="0027042D" w:rsidRPr="00E216B2" w14:paraId="47A84304" w14:textId="77777777" w:rsidTr="00C94F61">
        <w:trPr>
          <w:gridAfter w:val="1"/>
          <w:wAfter w:w="23" w:type="dxa"/>
          <w:trHeight w:val="315"/>
        </w:trPr>
        <w:tc>
          <w:tcPr>
            <w:tcW w:w="2741" w:type="dxa"/>
            <w:gridSpan w:val="3"/>
            <w:vMerge/>
            <w:tcBorders>
              <w:top w:val="single" w:sz="8" w:space="0" w:color="auto"/>
              <w:left w:val="single" w:sz="4" w:space="0" w:color="auto"/>
              <w:bottom w:val="single" w:sz="8" w:space="0" w:color="000000"/>
              <w:right w:val="single" w:sz="8" w:space="0" w:color="auto"/>
            </w:tcBorders>
            <w:vAlign w:val="center"/>
            <w:hideMark/>
          </w:tcPr>
          <w:p w14:paraId="371F0EE4" w14:textId="77777777" w:rsidR="0027042D" w:rsidRPr="00E216B2" w:rsidRDefault="0027042D" w:rsidP="0027042D">
            <w:pPr>
              <w:rPr>
                <w:rFonts w:ascii="Calibri" w:hAnsi="Calibri" w:cs="Calibri"/>
                <w:b/>
                <w:bCs/>
                <w:color w:val="FFFFFF"/>
                <w:sz w:val="20"/>
                <w:lang w:eastAsia="en-GB"/>
              </w:rPr>
            </w:pPr>
          </w:p>
        </w:tc>
        <w:tc>
          <w:tcPr>
            <w:tcW w:w="2367" w:type="dxa"/>
            <w:vMerge/>
            <w:tcBorders>
              <w:top w:val="single" w:sz="8" w:space="0" w:color="auto"/>
              <w:left w:val="single" w:sz="8" w:space="0" w:color="auto"/>
              <w:bottom w:val="single" w:sz="8" w:space="0" w:color="000000"/>
              <w:right w:val="single" w:sz="8" w:space="0" w:color="auto"/>
            </w:tcBorders>
            <w:vAlign w:val="center"/>
            <w:hideMark/>
          </w:tcPr>
          <w:p w14:paraId="3D8B1E44" w14:textId="77777777" w:rsidR="0027042D" w:rsidRPr="00E216B2" w:rsidRDefault="0027042D" w:rsidP="0027042D">
            <w:pPr>
              <w:rPr>
                <w:rFonts w:ascii="Calibri" w:hAnsi="Calibri" w:cs="Calibri"/>
                <w:b/>
                <w:bCs/>
                <w:color w:val="FFFFFF"/>
                <w:sz w:val="20"/>
                <w:lang w:eastAsia="en-GB"/>
              </w:rPr>
            </w:pPr>
          </w:p>
        </w:tc>
        <w:tc>
          <w:tcPr>
            <w:tcW w:w="1434" w:type="dxa"/>
            <w:gridSpan w:val="2"/>
            <w:tcBorders>
              <w:top w:val="nil"/>
              <w:left w:val="nil"/>
              <w:bottom w:val="single" w:sz="8" w:space="0" w:color="auto"/>
              <w:right w:val="nil"/>
            </w:tcBorders>
            <w:shd w:val="clear" w:color="000000" w:fill="305496"/>
            <w:noWrap/>
            <w:vAlign w:val="center"/>
            <w:hideMark/>
          </w:tcPr>
          <w:p w14:paraId="1D14DD96" w14:textId="77777777" w:rsidR="0027042D" w:rsidRPr="00E216B2" w:rsidRDefault="0027042D" w:rsidP="0027042D">
            <w:pPr>
              <w:jc w:val="right"/>
              <w:rPr>
                <w:rFonts w:ascii="Calibri" w:hAnsi="Calibri" w:cs="Calibri"/>
                <w:b/>
                <w:bCs/>
                <w:color w:val="FFFFFF"/>
                <w:sz w:val="20"/>
                <w:lang w:eastAsia="en-GB"/>
              </w:rPr>
            </w:pPr>
            <w:r w:rsidRPr="00E216B2">
              <w:rPr>
                <w:rFonts w:ascii="Calibri" w:hAnsi="Calibri" w:cs="Calibri"/>
                <w:b/>
                <w:bCs/>
                <w:color w:val="FFFFFF"/>
                <w:sz w:val="20"/>
                <w:lang w:eastAsia="en-GB"/>
              </w:rPr>
              <w:t>2019</w:t>
            </w:r>
          </w:p>
        </w:tc>
        <w:tc>
          <w:tcPr>
            <w:tcW w:w="826" w:type="dxa"/>
            <w:tcBorders>
              <w:top w:val="nil"/>
              <w:left w:val="nil"/>
              <w:bottom w:val="single" w:sz="8" w:space="0" w:color="auto"/>
              <w:right w:val="single" w:sz="8" w:space="0" w:color="auto"/>
            </w:tcBorders>
            <w:shd w:val="clear" w:color="000000" w:fill="305496"/>
            <w:noWrap/>
            <w:vAlign w:val="center"/>
            <w:hideMark/>
          </w:tcPr>
          <w:p w14:paraId="448596E3" w14:textId="77777777" w:rsidR="0027042D" w:rsidRPr="00E216B2" w:rsidRDefault="0027042D" w:rsidP="0027042D">
            <w:pPr>
              <w:jc w:val="right"/>
              <w:rPr>
                <w:rFonts w:ascii="Calibri" w:hAnsi="Calibri" w:cs="Calibri"/>
                <w:b/>
                <w:bCs/>
                <w:color w:val="FFFFFF"/>
                <w:sz w:val="20"/>
                <w:lang w:eastAsia="en-GB"/>
              </w:rPr>
            </w:pPr>
            <w:r w:rsidRPr="00E216B2">
              <w:rPr>
                <w:rFonts w:ascii="Calibri" w:hAnsi="Calibri" w:cs="Calibri"/>
                <w:b/>
                <w:bCs/>
                <w:color w:val="FFFFFF"/>
                <w:sz w:val="20"/>
                <w:lang w:eastAsia="en-GB"/>
              </w:rPr>
              <w:t>2010</w:t>
            </w:r>
          </w:p>
        </w:tc>
        <w:tc>
          <w:tcPr>
            <w:tcW w:w="887" w:type="dxa"/>
            <w:gridSpan w:val="2"/>
            <w:tcBorders>
              <w:top w:val="nil"/>
              <w:left w:val="nil"/>
              <w:bottom w:val="single" w:sz="8" w:space="0" w:color="auto"/>
              <w:right w:val="single" w:sz="4" w:space="0" w:color="auto"/>
            </w:tcBorders>
            <w:shd w:val="clear" w:color="000000" w:fill="305496"/>
            <w:noWrap/>
            <w:vAlign w:val="center"/>
            <w:hideMark/>
          </w:tcPr>
          <w:p w14:paraId="53FA62AC" w14:textId="77777777" w:rsidR="0027042D" w:rsidRPr="00E216B2" w:rsidRDefault="0027042D" w:rsidP="0027042D">
            <w:pPr>
              <w:jc w:val="right"/>
              <w:rPr>
                <w:rFonts w:ascii="Calibri" w:hAnsi="Calibri" w:cs="Calibri"/>
                <w:b/>
                <w:bCs/>
                <w:color w:val="FFFFFF"/>
                <w:sz w:val="20"/>
                <w:lang w:eastAsia="en-GB"/>
              </w:rPr>
            </w:pPr>
            <w:r w:rsidRPr="00E216B2">
              <w:rPr>
                <w:rFonts w:ascii="Calibri" w:hAnsi="Calibri" w:cs="Calibri"/>
                <w:b/>
                <w:bCs/>
                <w:color w:val="FFFFFF"/>
                <w:sz w:val="20"/>
                <w:lang w:eastAsia="en-GB"/>
              </w:rPr>
              <w:t>2005</w:t>
            </w:r>
          </w:p>
        </w:tc>
      </w:tr>
      <w:tr w:rsidR="00E216B2" w:rsidRPr="00E216B2" w14:paraId="31722A34" w14:textId="77777777" w:rsidTr="00C94F61">
        <w:trPr>
          <w:gridBefore w:val="1"/>
          <w:gridAfter w:val="1"/>
          <w:wBefore w:w="15" w:type="dxa"/>
          <w:wAfter w:w="23" w:type="dxa"/>
          <w:trHeight w:val="315"/>
        </w:trPr>
        <w:tc>
          <w:tcPr>
            <w:tcW w:w="2692" w:type="dxa"/>
            <w:tcBorders>
              <w:top w:val="single" w:sz="8" w:space="0" w:color="auto"/>
              <w:left w:val="single" w:sz="4" w:space="0" w:color="auto"/>
              <w:bottom w:val="single" w:sz="8" w:space="0" w:color="auto"/>
              <w:right w:val="nil"/>
            </w:tcBorders>
            <w:shd w:val="clear" w:color="000000" w:fill="8EA9DB"/>
            <w:noWrap/>
            <w:vAlign w:val="center"/>
            <w:hideMark/>
          </w:tcPr>
          <w:p w14:paraId="3B29D658"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PM10</w:t>
            </w:r>
          </w:p>
        </w:tc>
        <w:tc>
          <w:tcPr>
            <w:tcW w:w="2814" w:type="dxa"/>
            <w:gridSpan w:val="3"/>
            <w:tcBorders>
              <w:top w:val="single" w:sz="8" w:space="0" w:color="auto"/>
              <w:left w:val="nil"/>
              <w:bottom w:val="single" w:sz="8" w:space="0" w:color="auto"/>
              <w:right w:val="nil"/>
            </w:tcBorders>
            <w:shd w:val="clear" w:color="000000" w:fill="8EA9DB"/>
            <w:noWrap/>
            <w:vAlign w:val="center"/>
            <w:hideMark/>
          </w:tcPr>
          <w:p w14:paraId="4F10B154"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 </w:t>
            </w:r>
          </w:p>
        </w:tc>
        <w:tc>
          <w:tcPr>
            <w:tcW w:w="2734" w:type="dxa"/>
            <w:gridSpan w:val="4"/>
            <w:tcBorders>
              <w:top w:val="single" w:sz="8" w:space="0" w:color="auto"/>
              <w:left w:val="single" w:sz="8" w:space="0" w:color="auto"/>
              <w:bottom w:val="single" w:sz="8" w:space="0" w:color="auto"/>
              <w:right w:val="single" w:sz="4" w:space="0" w:color="auto"/>
            </w:tcBorders>
            <w:shd w:val="clear" w:color="000000" w:fill="8EA9DB"/>
            <w:noWrap/>
            <w:vAlign w:val="center"/>
            <w:hideMark/>
          </w:tcPr>
          <w:p w14:paraId="4E6FC8AB" w14:textId="77777777" w:rsidR="00E216B2" w:rsidRPr="00E216B2" w:rsidRDefault="00E216B2" w:rsidP="00E216B2">
            <w:pPr>
              <w:jc w:val="center"/>
              <w:rPr>
                <w:rFonts w:ascii="Calibri" w:hAnsi="Calibri" w:cs="Calibri"/>
                <w:b/>
                <w:bCs/>
                <w:color w:val="000000"/>
                <w:sz w:val="20"/>
                <w:lang w:eastAsia="en-GB"/>
              </w:rPr>
            </w:pPr>
            <w:r w:rsidRPr="00E216B2">
              <w:rPr>
                <w:rFonts w:ascii="Calibri" w:hAnsi="Calibri" w:cs="Calibri"/>
                <w:b/>
                <w:bCs/>
                <w:color w:val="000000"/>
                <w:sz w:val="20"/>
                <w:lang w:eastAsia="en-GB"/>
              </w:rPr>
              <w:t>Pollutant estimates (kt)</w:t>
            </w:r>
          </w:p>
        </w:tc>
      </w:tr>
      <w:tr w:rsidR="00E216B2" w:rsidRPr="00E216B2" w14:paraId="27D59E0B" w14:textId="77777777" w:rsidTr="00C94F61">
        <w:trPr>
          <w:gridBefore w:val="1"/>
          <w:wBefore w:w="15" w:type="dxa"/>
          <w:trHeight w:val="315"/>
        </w:trPr>
        <w:tc>
          <w:tcPr>
            <w:tcW w:w="2692" w:type="dxa"/>
            <w:tcBorders>
              <w:top w:val="nil"/>
              <w:left w:val="single" w:sz="4" w:space="0" w:color="auto"/>
              <w:bottom w:val="single" w:sz="8" w:space="0" w:color="auto"/>
              <w:right w:val="single" w:sz="8" w:space="0" w:color="auto"/>
            </w:tcBorders>
            <w:shd w:val="clear" w:color="000000" w:fill="D9E1F2"/>
            <w:noWrap/>
            <w:vAlign w:val="center"/>
            <w:hideMark/>
          </w:tcPr>
          <w:p w14:paraId="03C9DDD1"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National total as reported 2019 (row 141)</w:t>
            </w:r>
          </w:p>
        </w:tc>
        <w:tc>
          <w:tcPr>
            <w:tcW w:w="2814" w:type="dxa"/>
            <w:gridSpan w:val="3"/>
            <w:tcBorders>
              <w:top w:val="nil"/>
              <w:left w:val="nil"/>
              <w:bottom w:val="single" w:sz="8" w:space="0" w:color="auto"/>
              <w:right w:val="single" w:sz="8" w:space="0" w:color="auto"/>
            </w:tcBorders>
            <w:shd w:val="clear" w:color="000000" w:fill="D9E1F2"/>
            <w:noWrap/>
            <w:vAlign w:val="center"/>
            <w:hideMark/>
          </w:tcPr>
          <w:p w14:paraId="724F54FE"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Annex I, 15 February 2021</w:t>
            </w:r>
          </w:p>
        </w:tc>
        <w:tc>
          <w:tcPr>
            <w:tcW w:w="1021" w:type="dxa"/>
            <w:tcBorders>
              <w:top w:val="nil"/>
              <w:left w:val="nil"/>
              <w:bottom w:val="single" w:sz="8" w:space="0" w:color="auto"/>
              <w:right w:val="single" w:sz="8" w:space="0" w:color="auto"/>
            </w:tcBorders>
            <w:shd w:val="clear" w:color="000000" w:fill="D9E1F2"/>
            <w:noWrap/>
            <w:vAlign w:val="center"/>
            <w:hideMark/>
          </w:tcPr>
          <w:p w14:paraId="687C8BB5"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4.89</w:t>
            </w:r>
          </w:p>
        </w:tc>
        <w:tc>
          <w:tcPr>
            <w:tcW w:w="840" w:type="dxa"/>
            <w:gridSpan w:val="2"/>
            <w:tcBorders>
              <w:top w:val="nil"/>
              <w:left w:val="nil"/>
              <w:bottom w:val="single" w:sz="8" w:space="0" w:color="auto"/>
              <w:right w:val="single" w:sz="8" w:space="0" w:color="auto"/>
            </w:tcBorders>
            <w:shd w:val="clear" w:color="000000" w:fill="D9E1F2"/>
            <w:noWrap/>
            <w:vAlign w:val="center"/>
            <w:hideMark/>
          </w:tcPr>
          <w:p w14:paraId="0D088D47"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5.937</w:t>
            </w:r>
          </w:p>
        </w:tc>
        <w:tc>
          <w:tcPr>
            <w:tcW w:w="896" w:type="dxa"/>
            <w:gridSpan w:val="2"/>
            <w:tcBorders>
              <w:top w:val="nil"/>
              <w:left w:val="nil"/>
              <w:bottom w:val="single" w:sz="8" w:space="0" w:color="auto"/>
              <w:right w:val="single" w:sz="4" w:space="0" w:color="auto"/>
            </w:tcBorders>
            <w:shd w:val="clear" w:color="000000" w:fill="D9E1F2"/>
            <w:noWrap/>
            <w:vAlign w:val="center"/>
            <w:hideMark/>
          </w:tcPr>
          <w:p w14:paraId="1C208D33"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5.302</w:t>
            </w:r>
          </w:p>
        </w:tc>
      </w:tr>
      <w:tr w:rsidR="00E216B2" w:rsidRPr="00E216B2" w14:paraId="712C1CA2" w14:textId="77777777" w:rsidTr="00C94F61">
        <w:trPr>
          <w:gridBefore w:val="1"/>
          <w:gridAfter w:val="1"/>
          <w:wBefore w:w="15" w:type="dxa"/>
          <w:wAfter w:w="23" w:type="dxa"/>
          <w:trHeight w:val="315"/>
        </w:trPr>
        <w:tc>
          <w:tcPr>
            <w:tcW w:w="8240" w:type="dxa"/>
            <w:gridSpan w:val="8"/>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491CCE88"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revised estimates provided by Party and accepted by the ERT</w:t>
            </w:r>
          </w:p>
        </w:tc>
      </w:tr>
      <w:tr w:rsidR="00E216B2" w:rsidRPr="00E216B2" w14:paraId="5272AD9D" w14:textId="77777777" w:rsidTr="00C94F61">
        <w:trPr>
          <w:gridBefore w:val="1"/>
          <w:wBefore w:w="15" w:type="dxa"/>
          <w:trHeight w:val="315"/>
        </w:trPr>
        <w:tc>
          <w:tcPr>
            <w:tcW w:w="2692" w:type="dxa"/>
            <w:tcBorders>
              <w:top w:val="nil"/>
              <w:left w:val="single" w:sz="4" w:space="0" w:color="auto"/>
              <w:bottom w:val="single" w:sz="8" w:space="0" w:color="auto"/>
              <w:right w:val="single" w:sz="8" w:space="0" w:color="auto"/>
            </w:tcBorders>
            <w:shd w:val="clear" w:color="auto" w:fill="auto"/>
            <w:noWrap/>
            <w:vAlign w:val="center"/>
            <w:hideMark/>
          </w:tcPr>
          <w:p w14:paraId="44535BE7"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814" w:type="dxa"/>
            <w:gridSpan w:val="3"/>
            <w:tcBorders>
              <w:top w:val="nil"/>
              <w:left w:val="nil"/>
              <w:bottom w:val="single" w:sz="8" w:space="0" w:color="auto"/>
              <w:right w:val="single" w:sz="8" w:space="0" w:color="auto"/>
            </w:tcBorders>
            <w:shd w:val="clear" w:color="auto" w:fill="auto"/>
            <w:noWrap/>
            <w:vAlign w:val="center"/>
            <w:hideMark/>
          </w:tcPr>
          <w:p w14:paraId="4CF979DE"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021" w:type="dxa"/>
            <w:tcBorders>
              <w:top w:val="nil"/>
              <w:left w:val="nil"/>
              <w:bottom w:val="single" w:sz="8" w:space="0" w:color="auto"/>
              <w:right w:val="single" w:sz="8" w:space="0" w:color="auto"/>
            </w:tcBorders>
            <w:shd w:val="clear" w:color="auto" w:fill="auto"/>
            <w:noWrap/>
            <w:vAlign w:val="center"/>
            <w:hideMark/>
          </w:tcPr>
          <w:p w14:paraId="19C52865"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0.63</w:t>
            </w:r>
          </w:p>
        </w:tc>
        <w:tc>
          <w:tcPr>
            <w:tcW w:w="840" w:type="dxa"/>
            <w:gridSpan w:val="2"/>
            <w:tcBorders>
              <w:top w:val="nil"/>
              <w:left w:val="nil"/>
              <w:bottom w:val="single" w:sz="8" w:space="0" w:color="auto"/>
              <w:right w:val="single" w:sz="8" w:space="0" w:color="auto"/>
            </w:tcBorders>
            <w:shd w:val="clear" w:color="auto" w:fill="auto"/>
            <w:noWrap/>
            <w:vAlign w:val="center"/>
            <w:hideMark/>
          </w:tcPr>
          <w:p w14:paraId="3BAB7000"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0.863</w:t>
            </w:r>
          </w:p>
        </w:tc>
        <w:tc>
          <w:tcPr>
            <w:tcW w:w="896" w:type="dxa"/>
            <w:gridSpan w:val="2"/>
            <w:tcBorders>
              <w:top w:val="nil"/>
              <w:left w:val="nil"/>
              <w:bottom w:val="single" w:sz="8" w:space="0" w:color="auto"/>
              <w:right w:val="single" w:sz="4" w:space="0" w:color="auto"/>
            </w:tcBorders>
            <w:shd w:val="clear" w:color="auto" w:fill="auto"/>
            <w:noWrap/>
            <w:vAlign w:val="center"/>
            <w:hideMark/>
          </w:tcPr>
          <w:p w14:paraId="3AF48A84"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0.083</w:t>
            </w:r>
          </w:p>
        </w:tc>
      </w:tr>
      <w:tr w:rsidR="00E216B2" w:rsidRPr="00E216B2" w14:paraId="18947AF0" w14:textId="77777777" w:rsidTr="00C94F61">
        <w:trPr>
          <w:gridBefore w:val="1"/>
          <w:gridAfter w:val="1"/>
          <w:wBefore w:w="15" w:type="dxa"/>
          <w:wAfter w:w="23" w:type="dxa"/>
          <w:trHeight w:val="315"/>
        </w:trPr>
        <w:tc>
          <w:tcPr>
            <w:tcW w:w="8240" w:type="dxa"/>
            <w:gridSpan w:val="8"/>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2625F0D2"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technical correction deemed necessary by the  ERT</w:t>
            </w:r>
          </w:p>
        </w:tc>
      </w:tr>
      <w:tr w:rsidR="00E216B2" w:rsidRPr="00E216B2" w14:paraId="7B6B7EA3" w14:textId="77777777" w:rsidTr="00C94F61">
        <w:trPr>
          <w:gridBefore w:val="1"/>
          <w:wBefore w:w="15" w:type="dxa"/>
          <w:trHeight w:val="315"/>
        </w:trPr>
        <w:tc>
          <w:tcPr>
            <w:tcW w:w="2692" w:type="dxa"/>
            <w:tcBorders>
              <w:top w:val="nil"/>
              <w:left w:val="single" w:sz="4" w:space="0" w:color="auto"/>
              <w:bottom w:val="single" w:sz="8" w:space="0" w:color="auto"/>
              <w:right w:val="single" w:sz="8" w:space="0" w:color="auto"/>
            </w:tcBorders>
            <w:shd w:val="clear" w:color="auto" w:fill="auto"/>
            <w:noWrap/>
            <w:vAlign w:val="center"/>
            <w:hideMark/>
          </w:tcPr>
          <w:p w14:paraId="133D0A14"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814" w:type="dxa"/>
            <w:gridSpan w:val="3"/>
            <w:tcBorders>
              <w:top w:val="nil"/>
              <w:left w:val="nil"/>
              <w:bottom w:val="single" w:sz="8" w:space="0" w:color="auto"/>
              <w:right w:val="single" w:sz="8" w:space="0" w:color="auto"/>
            </w:tcBorders>
            <w:shd w:val="clear" w:color="auto" w:fill="auto"/>
            <w:noWrap/>
            <w:vAlign w:val="center"/>
            <w:hideMark/>
          </w:tcPr>
          <w:p w14:paraId="27B86048"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021" w:type="dxa"/>
            <w:tcBorders>
              <w:top w:val="nil"/>
              <w:left w:val="nil"/>
              <w:bottom w:val="single" w:sz="8" w:space="0" w:color="auto"/>
              <w:right w:val="single" w:sz="8" w:space="0" w:color="auto"/>
            </w:tcBorders>
            <w:shd w:val="clear" w:color="auto" w:fill="auto"/>
            <w:noWrap/>
            <w:vAlign w:val="center"/>
            <w:hideMark/>
          </w:tcPr>
          <w:p w14:paraId="67527AC7"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40" w:type="dxa"/>
            <w:gridSpan w:val="2"/>
            <w:tcBorders>
              <w:top w:val="nil"/>
              <w:left w:val="nil"/>
              <w:bottom w:val="single" w:sz="8" w:space="0" w:color="auto"/>
              <w:right w:val="single" w:sz="8" w:space="0" w:color="auto"/>
            </w:tcBorders>
            <w:shd w:val="clear" w:color="auto" w:fill="auto"/>
            <w:noWrap/>
            <w:vAlign w:val="center"/>
            <w:hideMark/>
          </w:tcPr>
          <w:p w14:paraId="623D0F37"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96" w:type="dxa"/>
            <w:gridSpan w:val="2"/>
            <w:tcBorders>
              <w:top w:val="nil"/>
              <w:left w:val="nil"/>
              <w:bottom w:val="single" w:sz="8" w:space="0" w:color="auto"/>
              <w:right w:val="single" w:sz="4" w:space="0" w:color="auto"/>
            </w:tcBorders>
            <w:shd w:val="clear" w:color="auto" w:fill="auto"/>
            <w:noWrap/>
            <w:vAlign w:val="center"/>
            <w:hideMark/>
          </w:tcPr>
          <w:p w14:paraId="5B7D9289"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r>
      <w:tr w:rsidR="00E216B2" w:rsidRPr="00E216B2" w14:paraId="5764D195" w14:textId="77777777" w:rsidTr="00C94F61">
        <w:trPr>
          <w:gridBefore w:val="1"/>
          <w:wBefore w:w="15" w:type="dxa"/>
          <w:trHeight w:val="780"/>
        </w:trPr>
        <w:tc>
          <w:tcPr>
            <w:tcW w:w="2692" w:type="dxa"/>
            <w:tcBorders>
              <w:top w:val="nil"/>
              <w:left w:val="single" w:sz="4" w:space="0" w:color="auto"/>
              <w:bottom w:val="single" w:sz="4" w:space="0" w:color="auto"/>
              <w:right w:val="single" w:sz="8" w:space="0" w:color="auto"/>
            </w:tcBorders>
            <w:shd w:val="clear" w:color="000000" w:fill="D9E1F2"/>
            <w:vAlign w:val="center"/>
            <w:hideMark/>
          </w:tcPr>
          <w:p w14:paraId="65E6307E"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National total (row 141) including revised estimates and technical corrections accepted by MS</w:t>
            </w:r>
          </w:p>
        </w:tc>
        <w:tc>
          <w:tcPr>
            <w:tcW w:w="2814" w:type="dxa"/>
            <w:gridSpan w:val="3"/>
            <w:tcBorders>
              <w:top w:val="nil"/>
              <w:left w:val="nil"/>
              <w:bottom w:val="single" w:sz="4" w:space="0" w:color="auto"/>
              <w:right w:val="single" w:sz="8" w:space="0" w:color="auto"/>
            </w:tcBorders>
            <w:shd w:val="clear" w:color="000000" w:fill="D9E1F2"/>
            <w:vAlign w:val="center"/>
            <w:hideMark/>
          </w:tcPr>
          <w:p w14:paraId="4ADF4696"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Calculated using data above</w:t>
            </w:r>
          </w:p>
        </w:tc>
        <w:tc>
          <w:tcPr>
            <w:tcW w:w="1021" w:type="dxa"/>
            <w:tcBorders>
              <w:top w:val="nil"/>
              <w:left w:val="nil"/>
              <w:bottom w:val="single" w:sz="4" w:space="0" w:color="auto"/>
              <w:right w:val="single" w:sz="8" w:space="0" w:color="auto"/>
            </w:tcBorders>
            <w:shd w:val="clear" w:color="000000" w:fill="D9E1F2"/>
            <w:noWrap/>
            <w:vAlign w:val="center"/>
            <w:hideMark/>
          </w:tcPr>
          <w:p w14:paraId="72A3C926"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5.523</w:t>
            </w:r>
          </w:p>
        </w:tc>
        <w:tc>
          <w:tcPr>
            <w:tcW w:w="840" w:type="dxa"/>
            <w:gridSpan w:val="2"/>
            <w:tcBorders>
              <w:top w:val="nil"/>
              <w:left w:val="nil"/>
              <w:bottom w:val="single" w:sz="4" w:space="0" w:color="auto"/>
              <w:right w:val="single" w:sz="8" w:space="0" w:color="auto"/>
            </w:tcBorders>
            <w:shd w:val="clear" w:color="000000" w:fill="D9E1F2"/>
            <w:noWrap/>
            <w:vAlign w:val="center"/>
            <w:hideMark/>
          </w:tcPr>
          <w:p w14:paraId="10689CC9"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6.800</w:t>
            </w:r>
          </w:p>
        </w:tc>
        <w:tc>
          <w:tcPr>
            <w:tcW w:w="896" w:type="dxa"/>
            <w:gridSpan w:val="2"/>
            <w:tcBorders>
              <w:top w:val="nil"/>
              <w:left w:val="nil"/>
              <w:bottom w:val="single" w:sz="4" w:space="0" w:color="auto"/>
              <w:right w:val="single" w:sz="4" w:space="0" w:color="auto"/>
            </w:tcBorders>
            <w:shd w:val="clear" w:color="000000" w:fill="D9E1F2"/>
            <w:noWrap/>
            <w:vAlign w:val="center"/>
            <w:hideMark/>
          </w:tcPr>
          <w:p w14:paraId="185386BD"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5.385</w:t>
            </w:r>
          </w:p>
        </w:tc>
      </w:tr>
      <w:tr w:rsidR="00E216B2" w:rsidRPr="00E216B2" w14:paraId="740F0C5D" w14:textId="77777777" w:rsidTr="00C94F61">
        <w:trPr>
          <w:gridBefore w:val="1"/>
          <w:wBefore w:w="15" w:type="dxa"/>
          <w:trHeight w:val="315"/>
        </w:trPr>
        <w:tc>
          <w:tcPr>
            <w:tcW w:w="2692" w:type="dxa"/>
            <w:tcBorders>
              <w:top w:val="single" w:sz="4" w:space="0" w:color="auto"/>
              <w:left w:val="nil"/>
              <w:bottom w:val="nil"/>
              <w:right w:val="nil"/>
            </w:tcBorders>
            <w:shd w:val="clear" w:color="auto" w:fill="auto"/>
            <w:noWrap/>
            <w:vAlign w:val="bottom"/>
            <w:hideMark/>
          </w:tcPr>
          <w:p w14:paraId="51C92190" w14:textId="77777777" w:rsidR="00E216B2" w:rsidRPr="00E216B2" w:rsidRDefault="00E216B2" w:rsidP="00E216B2">
            <w:pPr>
              <w:jc w:val="right"/>
              <w:rPr>
                <w:rFonts w:ascii="Calibri" w:hAnsi="Calibri" w:cs="Calibri"/>
                <w:b/>
                <w:bCs/>
                <w:color w:val="000000"/>
                <w:sz w:val="20"/>
                <w:lang w:eastAsia="en-GB"/>
              </w:rPr>
            </w:pPr>
          </w:p>
        </w:tc>
        <w:tc>
          <w:tcPr>
            <w:tcW w:w="2814" w:type="dxa"/>
            <w:gridSpan w:val="3"/>
            <w:tcBorders>
              <w:top w:val="single" w:sz="4" w:space="0" w:color="auto"/>
              <w:left w:val="nil"/>
              <w:bottom w:val="nil"/>
              <w:right w:val="nil"/>
            </w:tcBorders>
            <w:shd w:val="clear" w:color="auto" w:fill="auto"/>
            <w:noWrap/>
            <w:vAlign w:val="bottom"/>
            <w:hideMark/>
          </w:tcPr>
          <w:p w14:paraId="2C196263" w14:textId="77777777" w:rsidR="00E216B2" w:rsidRPr="00E216B2" w:rsidRDefault="00E216B2" w:rsidP="00E216B2">
            <w:pPr>
              <w:rPr>
                <w:rFonts w:ascii="Times New Roman" w:hAnsi="Times New Roman" w:cs="Times New Roman"/>
                <w:sz w:val="20"/>
                <w:lang w:eastAsia="en-GB"/>
              </w:rPr>
            </w:pPr>
          </w:p>
        </w:tc>
        <w:tc>
          <w:tcPr>
            <w:tcW w:w="1021" w:type="dxa"/>
            <w:tcBorders>
              <w:top w:val="single" w:sz="4" w:space="0" w:color="auto"/>
              <w:left w:val="nil"/>
              <w:bottom w:val="nil"/>
              <w:right w:val="nil"/>
            </w:tcBorders>
            <w:shd w:val="clear" w:color="auto" w:fill="auto"/>
            <w:noWrap/>
            <w:vAlign w:val="bottom"/>
            <w:hideMark/>
          </w:tcPr>
          <w:p w14:paraId="64E037F8" w14:textId="77777777" w:rsidR="00E216B2" w:rsidRPr="00E216B2" w:rsidRDefault="00E216B2" w:rsidP="00E216B2">
            <w:pPr>
              <w:rPr>
                <w:rFonts w:ascii="Times New Roman" w:hAnsi="Times New Roman" w:cs="Times New Roman"/>
                <w:sz w:val="20"/>
                <w:lang w:eastAsia="en-GB"/>
              </w:rPr>
            </w:pPr>
          </w:p>
        </w:tc>
        <w:tc>
          <w:tcPr>
            <w:tcW w:w="840" w:type="dxa"/>
            <w:gridSpan w:val="2"/>
            <w:tcBorders>
              <w:top w:val="single" w:sz="4" w:space="0" w:color="auto"/>
              <w:left w:val="nil"/>
              <w:bottom w:val="nil"/>
              <w:right w:val="nil"/>
            </w:tcBorders>
            <w:shd w:val="clear" w:color="auto" w:fill="auto"/>
            <w:noWrap/>
            <w:vAlign w:val="bottom"/>
            <w:hideMark/>
          </w:tcPr>
          <w:p w14:paraId="08D0144B" w14:textId="77777777" w:rsidR="00E216B2" w:rsidRPr="00E216B2" w:rsidRDefault="00E216B2" w:rsidP="00E216B2">
            <w:pPr>
              <w:rPr>
                <w:rFonts w:ascii="Times New Roman" w:hAnsi="Times New Roman" w:cs="Times New Roman"/>
                <w:sz w:val="20"/>
                <w:lang w:eastAsia="en-GB"/>
              </w:rPr>
            </w:pPr>
          </w:p>
        </w:tc>
        <w:tc>
          <w:tcPr>
            <w:tcW w:w="896" w:type="dxa"/>
            <w:gridSpan w:val="2"/>
            <w:tcBorders>
              <w:top w:val="single" w:sz="4" w:space="0" w:color="auto"/>
              <w:left w:val="nil"/>
              <w:bottom w:val="nil"/>
              <w:right w:val="nil"/>
            </w:tcBorders>
            <w:shd w:val="clear" w:color="auto" w:fill="auto"/>
            <w:noWrap/>
            <w:vAlign w:val="bottom"/>
            <w:hideMark/>
          </w:tcPr>
          <w:p w14:paraId="31A723A4" w14:textId="77777777" w:rsidR="00E216B2" w:rsidRPr="00E216B2" w:rsidRDefault="00E216B2" w:rsidP="00E216B2">
            <w:pPr>
              <w:rPr>
                <w:rFonts w:ascii="Times New Roman" w:hAnsi="Times New Roman" w:cs="Times New Roman"/>
                <w:sz w:val="20"/>
                <w:lang w:eastAsia="en-GB"/>
              </w:rPr>
            </w:pPr>
          </w:p>
        </w:tc>
      </w:tr>
      <w:tr w:rsidR="00E216B2" w:rsidRPr="00E216B2" w14:paraId="61D081E1" w14:textId="77777777" w:rsidTr="00C94F61">
        <w:trPr>
          <w:gridBefore w:val="1"/>
          <w:gridAfter w:val="1"/>
          <w:wBefore w:w="15" w:type="dxa"/>
          <w:wAfter w:w="23" w:type="dxa"/>
          <w:trHeight w:val="315"/>
        </w:trPr>
        <w:tc>
          <w:tcPr>
            <w:tcW w:w="2692" w:type="dxa"/>
            <w:tcBorders>
              <w:top w:val="single" w:sz="4" w:space="0" w:color="auto"/>
              <w:left w:val="single" w:sz="4" w:space="0" w:color="auto"/>
              <w:bottom w:val="single" w:sz="8" w:space="0" w:color="auto"/>
              <w:right w:val="nil"/>
            </w:tcBorders>
            <w:shd w:val="clear" w:color="000000" w:fill="8EA9DB"/>
            <w:noWrap/>
            <w:vAlign w:val="center"/>
            <w:hideMark/>
          </w:tcPr>
          <w:p w14:paraId="005A3810"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PM2.5</w:t>
            </w:r>
          </w:p>
        </w:tc>
        <w:tc>
          <w:tcPr>
            <w:tcW w:w="2814" w:type="dxa"/>
            <w:gridSpan w:val="3"/>
            <w:tcBorders>
              <w:top w:val="single" w:sz="4" w:space="0" w:color="auto"/>
              <w:left w:val="nil"/>
              <w:bottom w:val="single" w:sz="8" w:space="0" w:color="auto"/>
              <w:right w:val="nil"/>
            </w:tcBorders>
            <w:shd w:val="clear" w:color="000000" w:fill="8EA9DB"/>
            <w:noWrap/>
            <w:vAlign w:val="center"/>
            <w:hideMark/>
          </w:tcPr>
          <w:p w14:paraId="20255D0F"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 </w:t>
            </w:r>
          </w:p>
        </w:tc>
        <w:tc>
          <w:tcPr>
            <w:tcW w:w="2734" w:type="dxa"/>
            <w:gridSpan w:val="4"/>
            <w:tcBorders>
              <w:top w:val="single" w:sz="4" w:space="0" w:color="auto"/>
              <w:left w:val="single" w:sz="8" w:space="0" w:color="auto"/>
              <w:bottom w:val="single" w:sz="8" w:space="0" w:color="auto"/>
              <w:right w:val="single" w:sz="4" w:space="0" w:color="auto"/>
            </w:tcBorders>
            <w:shd w:val="clear" w:color="000000" w:fill="8EA9DB"/>
            <w:noWrap/>
            <w:vAlign w:val="center"/>
            <w:hideMark/>
          </w:tcPr>
          <w:p w14:paraId="546FD879" w14:textId="77777777" w:rsidR="00E216B2" w:rsidRPr="00E216B2" w:rsidRDefault="00E216B2" w:rsidP="00E216B2">
            <w:pPr>
              <w:jc w:val="center"/>
              <w:rPr>
                <w:rFonts w:ascii="Calibri" w:hAnsi="Calibri" w:cs="Calibri"/>
                <w:b/>
                <w:bCs/>
                <w:color w:val="000000"/>
                <w:sz w:val="20"/>
                <w:lang w:eastAsia="en-GB"/>
              </w:rPr>
            </w:pPr>
            <w:r w:rsidRPr="00E216B2">
              <w:rPr>
                <w:rFonts w:ascii="Calibri" w:hAnsi="Calibri" w:cs="Calibri"/>
                <w:b/>
                <w:bCs/>
                <w:color w:val="000000"/>
                <w:sz w:val="20"/>
                <w:lang w:eastAsia="en-GB"/>
              </w:rPr>
              <w:t>Pollutant estimates (kt)</w:t>
            </w:r>
          </w:p>
        </w:tc>
      </w:tr>
      <w:tr w:rsidR="00E216B2" w:rsidRPr="00E216B2" w14:paraId="337D3435" w14:textId="77777777" w:rsidTr="00C94F61">
        <w:trPr>
          <w:gridBefore w:val="1"/>
          <w:wBefore w:w="15" w:type="dxa"/>
          <w:trHeight w:val="315"/>
        </w:trPr>
        <w:tc>
          <w:tcPr>
            <w:tcW w:w="2692" w:type="dxa"/>
            <w:tcBorders>
              <w:top w:val="nil"/>
              <w:left w:val="single" w:sz="4" w:space="0" w:color="auto"/>
              <w:bottom w:val="single" w:sz="8" w:space="0" w:color="auto"/>
              <w:right w:val="single" w:sz="8" w:space="0" w:color="auto"/>
            </w:tcBorders>
            <w:shd w:val="clear" w:color="000000" w:fill="D9E1F2"/>
            <w:noWrap/>
            <w:vAlign w:val="center"/>
            <w:hideMark/>
          </w:tcPr>
          <w:p w14:paraId="17139279"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National total as reported 2019 (row 141)</w:t>
            </w:r>
          </w:p>
        </w:tc>
        <w:tc>
          <w:tcPr>
            <w:tcW w:w="2814" w:type="dxa"/>
            <w:gridSpan w:val="3"/>
            <w:tcBorders>
              <w:top w:val="nil"/>
              <w:left w:val="nil"/>
              <w:bottom w:val="single" w:sz="8" w:space="0" w:color="auto"/>
              <w:right w:val="single" w:sz="8" w:space="0" w:color="auto"/>
            </w:tcBorders>
            <w:shd w:val="clear" w:color="000000" w:fill="D9E1F2"/>
            <w:noWrap/>
            <w:vAlign w:val="center"/>
            <w:hideMark/>
          </w:tcPr>
          <w:p w14:paraId="64E6D77D"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Annex I, 15 February 2021</w:t>
            </w:r>
          </w:p>
        </w:tc>
        <w:tc>
          <w:tcPr>
            <w:tcW w:w="1021" w:type="dxa"/>
            <w:tcBorders>
              <w:top w:val="nil"/>
              <w:left w:val="nil"/>
              <w:bottom w:val="single" w:sz="8" w:space="0" w:color="auto"/>
              <w:right w:val="single" w:sz="8" w:space="0" w:color="auto"/>
            </w:tcBorders>
            <w:shd w:val="clear" w:color="000000" w:fill="D9E1F2"/>
            <w:noWrap/>
            <w:vAlign w:val="center"/>
            <w:hideMark/>
          </w:tcPr>
          <w:p w14:paraId="06E5C4B5"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4.74</w:t>
            </w:r>
          </w:p>
        </w:tc>
        <w:tc>
          <w:tcPr>
            <w:tcW w:w="840" w:type="dxa"/>
            <w:gridSpan w:val="2"/>
            <w:tcBorders>
              <w:top w:val="nil"/>
              <w:left w:val="nil"/>
              <w:bottom w:val="single" w:sz="8" w:space="0" w:color="auto"/>
              <w:right w:val="single" w:sz="8" w:space="0" w:color="auto"/>
            </w:tcBorders>
            <w:shd w:val="clear" w:color="000000" w:fill="D9E1F2"/>
            <w:noWrap/>
            <w:vAlign w:val="center"/>
            <w:hideMark/>
          </w:tcPr>
          <w:p w14:paraId="37B8159E"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5.602</w:t>
            </w:r>
          </w:p>
        </w:tc>
        <w:tc>
          <w:tcPr>
            <w:tcW w:w="896" w:type="dxa"/>
            <w:gridSpan w:val="2"/>
            <w:tcBorders>
              <w:top w:val="nil"/>
              <w:left w:val="nil"/>
              <w:bottom w:val="single" w:sz="8" w:space="0" w:color="auto"/>
              <w:right w:val="single" w:sz="4" w:space="0" w:color="auto"/>
            </w:tcBorders>
            <w:shd w:val="clear" w:color="000000" w:fill="D9E1F2"/>
            <w:noWrap/>
            <w:vAlign w:val="center"/>
            <w:hideMark/>
          </w:tcPr>
          <w:p w14:paraId="2C221B47"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5.015</w:t>
            </w:r>
          </w:p>
        </w:tc>
      </w:tr>
      <w:tr w:rsidR="00E216B2" w:rsidRPr="00E216B2" w14:paraId="2DFC79B7" w14:textId="77777777" w:rsidTr="00C94F61">
        <w:trPr>
          <w:gridBefore w:val="1"/>
          <w:gridAfter w:val="1"/>
          <w:wBefore w:w="15" w:type="dxa"/>
          <w:wAfter w:w="23" w:type="dxa"/>
          <w:trHeight w:val="315"/>
        </w:trPr>
        <w:tc>
          <w:tcPr>
            <w:tcW w:w="8240" w:type="dxa"/>
            <w:gridSpan w:val="8"/>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65489EAF"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revised estimates provided by Party and accepted by the ERT</w:t>
            </w:r>
          </w:p>
        </w:tc>
      </w:tr>
      <w:tr w:rsidR="00E216B2" w:rsidRPr="00E216B2" w14:paraId="44860437" w14:textId="77777777" w:rsidTr="00C94F61">
        <w:trPr>
          <w:gridBefore w:val="1"/>
          <w:wBefore w:w="15" w:type="dxa"/>
          <w:trHeight w:val="315"/>
        </w:trPr>
        <w:tc>
          <w:tcPr>
            <w:tcW w:w="2692" w:type="dxa"/>
            <w:tcBorders>
              <w:top w:val="nil"/>
              <w:left w:val="single" w:sz="4" w:space="0" w:color="auto"/>
              <w:bottom w:val="single" w:sz="8" w:space="0" w:color="auto"/>
              <w:right w:val="single" w:sz="8" w:space="0" w:color="auto"/>
            </w:tcBorders>
            <w:shd w:val="clear" w:color="auto" w:fill="auto"/>
            <w:noWrap/>
            <w:vAlign w:val="center"/>
            <w:hideMark/>
          </w:tcPr>
          <w:p w14:paraId="49D628A9"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814" w:type="dxa"/>
            <w:gridSpan w:val="3"/>
            <w:tcBorders>
              <w:top w:val="nil"/>
              <w:left w:val="nil"/>
              <w:bottom w:val="single" w:sz="8" w:space="0" w:color="auto"/>
              <w:right w:val="single" w:sz="8" w:space="0" w:color="auto"/>
            </w:tcBorders>
            <w:shd w:val="clear" w:color="auto" w:fill="auto"/>
            <w:noWrap/>
            <w:vAlign w:val="center"/>
            <w:hideMark/>
          </w:tcPr>
          <w:p w14:paraId="37E2CAAA"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021" w:type="dxa"/>
            <w:tcBorders>
              <w:top w:val="nil"/>
              <w:left w:val="nil"/>
              <w:bottom w:val="single" w:sz="8" w:space="0" w:color="auto"/>
              <w:right w:val="single" w:sz="8" w:space="0" w:color="auto"/>
            </w:tcBorders>
            <w:shd w:val="clear" w:color="auto" w:fill="auto"/>
            <w:noWrap/>
            <w:vAlign w:val="center"/>
            <w:hideMark/>
          </w:tcPr>
          <w:p w14:paraId="1285AB7C"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0.084</w:t>
            </w:r>
          </w:p>
        </w:tc>
        <w:tc>
          <w:tcPr>
            <w:tcW w:w="840" w:type="dxa"/>
            <w:gridSpan w:val="2"/>
            <w:tcBorders>
              <w:top w:val="nil"/>
              <w:left w:val="nil"/>
              <w:bottom w:val="single" w:sz="8" w:space="0" w:color="auto"/>
              <w:right w:val="single" w:sz="8" w:space="0" w:color="auto"/>
            </w:tcBorders>
            <w:shd w:val="clear" w:color="auto" w:fill="auto"/>
            <w:noWrap/>
            <w:vAlign w:val="center"/>
            <w:hideMark/>
          </w:tcPr>
          <w:p w14:paraId="2D1071B7"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0.115</w:t>
            </w:r>
          </w:p>
        </w:tc>
        <w:tc>
          <w:tcPr>
            <w:tcW w:w="896" w:type="dxa"/>
            <w:gridSpan w:val="2"/>
            <w:tcBorders>
              <w:top w:val="nil"/>
              <w:left w:val="nil"/>
              <w:bottom w:val="single" w:sz="8" w:space="0" w:color="auto"/>
              <w:right w:val="single" w:sz="4" w:space="0" w:color="auto"/>
            </w:tcBorders>
            <w:shd w:val="clear" w:color="auto" w:fill="auto"/>
            <w:noWrap/>
            <w:vAlign w:val="center"/>
            <w:hideMark/>
          </w:tcPr>
          <w:p w14:paraId="6AE73FC3"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0.011</w:t>
            </w:r>
          </w:p>
        </w:tc>
      </w:tr>
      <w:tr w:rsidR="00E216B2" w:rsidRPr="00E216B2" w14:paraId="4A88E88E" w14:textId="77777777" w:rsidTr="00C94F61">
        <w:trPr>
          <w:gridBefore w:val="1"/>
          <w:gridAfter w:val="1"/>
          <w:wBefore w:w="15" w:type="dxa"/>
          <w:wAfter w:w="23" w:type="dxa"/>
          <w:trHeight w:val="315"/>
        </w:trPr>
        <w:tc>
          <w:tcPr>
            <w:tcW w:w="8240" w:type="dxa"/>
            <w:gridSpan w:val="8"/>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61B3D1EA"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technical correction deemed necessary by the  ERT</w:t>
            </w:r>
          </w:p>
        </w:tc>
      </w:tr>
      <w:tr w:rsidR="00E216B2" w:rsidRPr="00E216B2" w14:paraId="51761827" w14:textId="77777777" w:rsidTr="00C94F61">
        <w:trPr>
          <w:gridBefore w:val="1"/>
          <w:wBefore w:w="15" w:type="dxa"/>
          <w:trHeight w:val="315"/>
        </w:trPr>
        <w:tc>
          <w:tcPr>
            <w:tcW w:w="2692" w:type="dxa"/>
            <w:tcBorders>
              <w:top w:val="nil"/>
              <w:left w:val="single" w:sz="4" w:space="0" w:color="auto"/>
              <w:bottom w:val="single" w:sz="8" w:space="0" w:color="auto"/>
              <w:right w:val="single" w:sz="8" w:space="0" w:color="auto"/>
            </w:tcBorders>
            <w:shd w:val="clear" w:color="auto" w:fill="auto"/>
            <w:noWrap/>
            <w:vAlign w:val="center"/>
            <w:hideMark/>
          </w:tcPr>
          <w:p w14:paraId="014E74AB"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814" w:type="dxa"/>
            <w:gridSpan w:val="3"/>
            <w:tcBorders>
              <w:top w:val="nil"/>
              <w:left w:val="nil"/>
              <w:bottom w:val="single" w:sz="8" w:space="0" w:color="auto"/>
              <w:right w:val="single" w:sz="8" w:space="0" w:color="auto"/>
            </w:tcBorders>
            <w:shd w:val="clear" w:color="auto" w:fill="auto"/>
            <w:noWrap/>
            <w:vAlign w:val="center"/>
            <w:hideMark/>
          </w:tcPr>
          <w:p w14:paraId="39DE78DF"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021" w:type="dxa"/>
            <w:tcBorders>
              <w:top w:val="nil"/>
              <w:left w:val="nil"/>
              <w:bottom w:val="single" w:sz="8" w:space="0" w:color="auto"/>
              <w:right w:val="single" w:sz="8" w:space="0" w:color="auto"/>
            </w:tcBorders>
            <w:shd w:val="clear" w:color="auto" w:fill="auto"/>
            <w:noWrap/>
            <w:vAlign w:val="center"/>
            <w:hideMark/>
          </w:tcPr>
          <w:p w14:paraId="26CFD80F"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40" w:type="dxa"/>
            <w:gridSpan w:val="2"/>
            <w:tcBorders>
              <w:top w:val="nil"/>
              <w:left w:val="nil"/>
              <w:bottom w:val="single" w:sz="8" w:space="0" w:color="auto"/>
              <w:right w:val="single" w:sz="8" w:space="0" w:color="auto"/>
            </w:tcBorders>
            <w:shd w:val="clear" w:color="auto" w:fill="auto"/>
            <w:noWrap/>
            <w:vAlign w:val="center"/>
            <w:hideMark/>
          </w:tcPr>
          <w:p w14:paraId="0EA07C9D"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96" w:type="dxa"/>
            <w:gridSpan w:val="2"/>
            <w:tcBorders>
              <w:top w:val="nil"/>
              <w:left w:val="nil"/>
              <w:bottom w:val="single" w:sz="8" w:space="0" w:color="auto"/>
              <w:right w:val="single" w:sz="4" w:space="0" w:color="auto"/>
            </w:tcBorders>
            <w:shd w:val="clear" w:color="auto" w:fill="auto"/>
            <w:noWrap/>
            <w:vAlign w:val="center"/>
            <w:hideMark/>
          </w:tcPr>
          <w:p w14:paraId="3DD93940"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r>
      <w:tr w:rsidR="00E216B2" w:rsidRPr="00E216B2" w14:paraId="502ED3C3" w14:textId="77777777" w:rsidTr="00C94F61">
        <w:trPr>
          <w:gridBefore w:val="1"/>
          <w:wBefore w:w="15" w:type="dxa"/>
          <w:trHeight w:val="780"/>
        </w:trPr>
        <w:tc>
          <w:tcPr>
            <w:tcW w:w="2692" w:type="dxa"/>
            <w:tcBorders>
              <w:top w:val="nil"/>
              <w:left w:val="single" w:sz="4" w:space="0" w:color="auto"/>
              <w:bottom w:val="single" w:sz="4" w:space="0" w:color="auto"/>
              <w:right w:val="single" w:sz="8" w:space="0" w:color="auto"/>
            </w:tcBorders>
            <w:shd w:val="clear" w:color="000000" w:fill="D9E1F2"/>
            <w:vAlign w:val="center"/>
            <w:hideMark/>
          </w:tcPr>
          <w:p w14:paraId="3A896A15"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National total (row 141) including revised estimates and technical corrections accepted by MS</w:t>
            </w:r>
          </w:p>
        </w:tc>
        <w:tc>
          <w:tcPr>
            <w:tcW w:w="2814" w:type="dxa"/>
            <w:gridSpan w:val="3"/>
            <w:tcBorders>
              <w:top w:val="nil"/>
              <w:left w:val="nil"/>
              <w:bottom w:val="single" w:sz="4" w:space="0" w:color="auto"/>
              <w:right w:val="single" w:sz="8" w:space="0" w:color="auto"/>
            </w:tcBorders>
            <w:shd w:val="clear" w:color="000000" w:fill="D9E1F2"/>
            <w:vAlign w:val="center"/>
            <w:hideMark/>
          </w:tcPr>
          <w:p w14:paraId="44B78045"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Calculated using data above</w:t>
            </w:r>
          </w:p>
        </w:tc>
        <w:tc>
          <w:tcPr>
            <w:tcW w:w="1021" w:type="dxa"/>
            <w:tcBorders>
              <w:top w:val="nil"/>
              <w:left w:val="nil"/>
              <w:bottom w:val="single" w:sz="4" w:space="0" w:color="auto"/>
              <w:right w:val="single" w:sz="8" w:space="0" w:color="auto"/>
            </w:tcBorders>
            <w:shd w:val="clear" w:color="000000" w:fill="D9E1F2"/>
            <w:noWrap/>
            <w:vAlign w:val="center"/>
            <w:hideMark/>
          </w:tcPr>
          <w:p w14:paraId="4EC0AC56"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4.820</w:t>
            </w:r>
          </w:p>
        </w:tc>
        <w:tc>
          <w:tcPr>
            <w:tcW w:w="840" w:type="dxa"/>
            <w:gridSpan w:val="2"/>
            <w:tcBorders>
              <w:top w:val="nil"/>
              <w:left w:val="nil"/>
              <w:bottom w:val="single" w:sz="4" w:space="0" w:color="auto"/>
              <w:right w:val="single" w:sz="8" w:space="0" w:color="auto"/>
            </w:tcBorders>
            <w:shd w:val="clear" w:color="000000" w:fill="D9E1F2"/>
            <w:noWrap/>
            <w:vAlign w:val="center"/>
            <w:hideMark/>
          </w:tcPr>
          <w:p w14:paraId="50A02DD7"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5.717</w:t>
            </w:r>
          </w:p>
        </w:tc>
        <w:tc>
          <w:tcPr>
            <w:tcW w:w="896" w:type="dxa"/>
            <w:gridSpan w:val="2"/>
            <w:tcBorders>
              <w:top w:val="nil"/>
              <w:left w:val="nil"/>
              <w:bottom w:val="single" w:sz="4" w:space="0" w:color="auto"/>
              <w:right w:val="single" w:sz="4" w:space="0" w:color="auto"/>
            </w:tcBorders>
            <w:shd w:val="clear" w:color="000000" w:fill="D9E1F2"/>
            <w:noWrap/>
            <w:vAlign w:val="center"/>
            <w:hideMark/>
          </w:tcPr>
          <w:p w14:paraId="2C0B7FB3"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5.027</w:t>
            </w:r>
          </w:p>
        </w:tc>
      </w:tr>
      <w:tr w:rsidR="00E216B2" w:rsidRPr="00E216B2" w14:paraId="6FD6BD1B" w14:textId="77777777" w:rsidTr="00C94F61">
        <w:trPr>
          <w:gridBefore w:val="1"/>
          <w:wBefore w:w="15" w:type="dxa"/>
          <w:trHeight w:val="315"/>
        </w:trPr>
        <w:tc>
          <w:tcPr>
            <w:tcW w:w="2692" w:type="dxa"/>
            <w:tcBorders>
              <w:top w:val="single" w:sz="4" w:space="0" w:color="auto"/>
              <w:left w:val="nil"/>
              <w:bottom w:val="nil"/>
              <w:right w:val="nil"/>
            </w:tcBorders>
            <w:shd w:val="clear" w:color="auto" w:fill="auto"/>
            <w:noWrap/>
            <w:vAlign w:val="bottom"/>
            <w:hideMark/>
          </w:tcPr>
          <w:p w14:paraId="2F7EC299" w14:textId="77777777" w:rsidR="00E216B2" w:rsidRPr="00E216B2" w:rsidRDefault="00E216B2" w:rsidP="00E216B2">
            <w:pPr>
              <w:jc w:val="right"/>
              <w:rPr>
                <w:rFonts w:ascii="Calibri" w:hAnsi="Calibri" w:cs="Calibri"/>
                <w:b/>
                <w:bCs/>
                <w:color w:val="000000"/>
                <w:sz w:val="20"/>
                <w:lang w:eastAsia="en-GB"/>
              </w:rPr>
            </w:pPr>
          </w:p>
        </w:tc>
        <w:tc>
          <w:tcPr>
            <w:tcW w:w="2814" w:type="dxa"/>
            <w:gridSpan w:val="3"/>
            <w:tcBorders>
              <w:top w:val="single" w:sz="4" w:space="0" w:color="auto"/>
              <w:left w:val="nil"/>
              <w:bottom w:val="nil"/>
              <w:right w:val="nil"/>
            </w:tcBorders>
            <w:shd w:val="clear" w:color="auto" w:fill="auto"/>
            <w:noWrap/>
            <w:vAlign w:val="bottom"/>
            <w:hideMark/>
          </w:tcPr>
          <w:p w14:paraId="2CFC2A7F" w14:textId="77777777" w:rsidR="00E216B2" w:rsidRPr="00E216B2" w:rsidRDefault="00E216B2" w:rsidP="00E216B2">
            <w:pPr>
              <w:rPr>
                <w:rFonts w:ascii="Times New Roman" w:hAnsi="Times New Roman" w:cs="Times New Roman"/>
                <w:sz w:val="20"/>
                <w:lang w:eastAsia="en-GB"/>
              </w:rPr>
            </w:pPr>
          </w:p>
        </w:tc>
        <w:tc>
          <w:tcPr>
            <w:tcW w:w="1021" w:type="dxa"/>
            <w:tcBorders>
              <w:top w:val="single" w:sz="4" w:space="0" w:color="auto"/>
              <w:left w:val="nil"/>
              <w:bottom w:val="nil"/>
              <w:right w:val="nil"/>
            </w:tcBorders>
            <w:shd w:val="clear" w:color="auto" w:fill="auto"/>
            <w:noWrap/>
            <w:vAlign w:val="bottom"/>
            <w:hideMark/>
          </w:tcPr>
          <w:p w14:paraId="60F7057A" w14:textId="77777777" w:rsidR="00E216B2" w:rsidRPr="00E216B2" w:rsidRDefault="00E216B2" w:rsidP="00E216B2">
            <w:pPr>
              <w:rPr>
                <w:rFonts w:ascii="Times New Roman" w:hAnsi="Times New Roman" w:cs="Times New Roman"/>
                <w:sz w:val="20"/>
                <w:lang w:eastAsia="en-GB"/>
              </w:rPr>
            </w:pPr>
          </w:p>
        </w:tc>
        <w:tc>
          <w:tcPr>
            <w:tcW w:w="840" w:type="dxa"/>
            <w:gridSpan w:val="2"/>
            <w:tcBorders>
              <w:top w:val="single" w:sz="4" w:space="0" w:color="auto"/>
              <w:left w:val="nil"/>
              <w:bottom w:val="nil"/>
              <w:right w:val="nil"/>
            </w:tcBorders>
            <w:shd w:val="clear" w:color="auto" w:fill="auto"/>
            <w:noWrap/>
            <w:vAlign w:val="bottom"/>
            <w:hideMark/>
          </w:tcPr>
          <w:p w14:paraId="7F9A1420" w14:textId="77777777" w:rsidR="00E216B2" w:rsidRPr="00E216B2" w:rsidRDefault="00E216B2" w:rsidP="00E216B2">
            <w:pPr>
              <w:rPr>
                <w:rFonts w:ascii="Times New Roman" w:hAnsi="Times New Roman" w:cs="Times New Roman"/>
                <w:sz w:val="20"/>
                <w:lang w:eastAsia="en-GB"/>
              </w:rPr>
            </w:pPr>
          </w:p>
        </w:tc>
        <w:tc>
          <w:tcPr>
            <w:tcW w:w="896" w:type="dxa"/>
            <w:gridSpan w:val="2"/>
            <w:tcBorders>
              <w:top w:val="single" w:sz="4" w:space="0" w:color="auto"/>
              <w:left w:val="nil"/>
              <w:bottom w:val="nil"/>
              <w:right w:val="nil"/>
            </w:tcBorders>
            <w:shd w:val="clear" w:color="auto" w:fill="auto"/>
            <w:noWrap/>
            <w:vAlign w:val="bottom"/>
            <w:hideMark/>
          </w:tcPr>
          <w:p w14:paraId="550304A9" w14:textId="77777777" w:rsidR="00E216B2" w:rsidRPr="00E216B2" w:rsidRDefault="00E216B2" w:rsidP="00E216B2">
            <w:pPr>
              <w:rPr>
                <w:rFonts w:ascii="Times New Roman" w:hAnsi="Times New Roman" w:cs="Times New Roman"/>
                <w:sz w:val="20"/>
                <w:lang w:eastAsia="en-GB"/>
              </w:rPr>
            </w:pPr>
          </w:p>
        </w:tc>
      </w:tr>
      <w:tr w:rsidR="00E216B2" w:rsidRPr="00E216B2" w14:paraId="2D32DDBB" w14:textId="77777777" w:rsidTr="00C94F61">
        <w:trPr>
          <w:gridBefore w:val="1"/>
          <w:gridAfter w:val="1"/>
          <w:wBefore w:w="15" w:type="dxa"/>
          <w:wAfter w:w="23" w:type="dxa"/>
          <w:trHeight w:val="315"/>
        </w:trPr>
        <w:tc>
          <w:tcPr>
            <w:tcW w:w="2692" w:type="dxa"/>
            <w:tcBorders>
              <w:top w:val="single" w:sz="4" w:space="0" w:color="auto"/>
              <w:left w:val="single" w:sz="4" w:space="0" w:color="auto"/>
              <w:bottom w:val="single" w:sz="8" w:space="0" w:color="auto"/>
              <w:right w:val="nil"/>
            </w:tcBorders>
            <w:shd w:val="clear" w:color="000000" w:fill="8EA9DB"/>
            <w:noWrap/>
            <w:vAlign w:val="center"/>
            <w:hideMark/>
          </w:tcPr>
          <w:p w14:paraId="1C219C5D"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lastRenderedPageBreak/>
              <w:t>BC</w:t>
            </w:r>
          </w:p>
        </w:tc>
        <w:tc>
          <w:tcPr>
            <w:tcW w:w="2814" w:type="dxa"/>
            <w:gridSpan w:val="3"/>
            <w:tcBorders>
              <w:top w:val="single" w:sz="4" w:space="0" w:color="auto"/>
              <w:left w:val="nil"/>
              <w:bottom w:val="single" w:sz="8" w:space="0" w:color="auto"/>
              <w:right w:val="nil"/>
            </w:tcBorders>
            <w:shd w:val="clear" w:color="000000" w:fill="8EA9DB"/>
            <w:noWrap/>
            <w:vAlign w:val="center"/>
            <w:hideMark/>
          </w:tcPr>
          <w:p w14:paraId="50785076"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 </w:t>
            </w:r>
          </w:p>
        </w:tc>
        <w:tc>
          <w:tcPr>
            <w:tcW w:w="2734" w:type="dxa"/>
            <w:gridSpan w:val="4"/>
            <w:tcBorders>
              <w:top w:val="single" w:sz="4" w:space="0" w:color="auto"/>
              <w:left w:val="single" w:sz="8" w:space="0" w:color="auto"/>
              <w:bottom w:val="single" w:sz="8" w:space="0" w:color="auto"/>
              <w:right w:val="single" w:sz="4" w:space="0" w:color="auto"/>
            </w:tcBorders>
            <w:shd w:val="clear" w:color="000000" w:fill="8EA9DB"/>
            <w:noWrap/>
            <w:vAlign w:val="center"/>
            <w:hideMark/>
          </w:tcPr>
          <w:p w14:paraId="32B38CF2" w14:textId="77777777" w:rsidR="00E216B2" w:rsidRPr="00E216B2" w:rsidRDefault="00E216B2" w:rsidP="00E216B2">
            <w:pPr>
              <w:jc w:val="center"/>
              <w:rPr>
                <w:rFonts w:ascii="Calibri" w:hAnsi="Calibri" w:cs="Calibri"/>
                <w:b/>
                <w:bCs/>
                <w:color w:val="000000"/>
                <w:sz w:val="20"/>
                <w:lang w:eastAsia="en-GB"/>
              </w:rPr>
            </w:pPr>
            <w:r w:rsidRPr="00E216B2">
              <w:rPr>
                <w:rFonts w:ascii="Calibri" w:hAnsi="Calibri" w:cs="Calibri"/>
                <w:b/>
                <w:bCs/>
                <w:color w:val="000000"/>
                <w:sz w:val="20"/>
                <w:lang w:eastAsia="en-GB"/>
              </w:rPr>
              <w:t>Pollutant estimates (kt)</w:t>
            </w:r>
          </w:p>
        </w:tc>
      </w:tr>
      <w:tr w:rsidR="00E216B2" w:rsidRPr="00E216B2" w14:paraId="1A3B561C" w14:textId="77777777" w:rsidTr="00C94F61">
        <w:trPr>
          <w:gridBefore w:val="1"/>
          <w:wBefore w:w="15" w:type="dxa"/>
          <w:trHeight w:val="315"/>
        </w:trPr>
        <w:tc>
          <w:tcPr>
            <w:tcW w:w="2692" w:type="dxa"/>
            <w:tcBorders>
              <w:top w:val="nil"/>
              <w:left w:val="single" w:sz="4" w:space="0" w:color="auto"/>
              <w:bottom w:val="single" w:sz="8" w:space="0" w:color="auto"/>
              <w:right w:val="single" w:sz="8" w:space="0" w:color="auto"/>
            </w:tcBorders>
            <w:shd w:val="clear" w:color="000000" w:fill="D9E1F2"/>
            <w:noWrap/>
            <w:vAlign w:val="center"/>
            <w:hideMark/>
          </w:tcPr>
          <w:p w14:paraId="13712328"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National total as reported 2019 (row 141)</w:t>
            </w:r>
          </w:p>
        </w:tc>
        <w:tc>
          <w:tcPr>
            <w:tcW w:w="2814" w:type="dxa"/>
            <w:gridSpan w:val="3"/>
            <w:tcBorders>
              <w:top w:val="nil"/>
              <w:left w:val="nil"/>
              <w:bottom w:val="single" w:sz="8" w:space="0" w:color="auto"/>
              <w:right w:val="single" w:sz="8" w:space="0" w:color="auto"/>
            </w:tcBorders>
            <w:shd w:val="clear" w:color="000000" w:fill="D9E1F2"/>
            <w:noWrap/>
            <w:vAlign w:val="center"/>
            <w:hideMark/>
          </w:tcPr>
          <w:p w14:paraId="765E6F4C"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Annex I, 15 February 2021</w:t>
            </w:r>
          </w:p>
        </w:tc>
        <w:tc>
          <w:tcPr>
            <w:tcW w:w="1021" w:type="dxa"/>
            <w:tcBorders>
              <w:top w:val="nil"/>
              <w:left w:val="nil"/>
              <w:bottom w:val="single" w:sz="8" w:space="0" w:color="auto"/>
              <w:right w:val="single" w:sz="8" w:space="0" w:color="auto"/>
            </w:tcBorders>
            <w:shd w:val="clear" w:color="000000" w:fill="D9E1F2"/>
            <w:noWrap/>
            <w:vAlign w:val="center"/>
            <w:hideMark/>
          </w:tcPr>
          <w:p w14:paraId="1FE0B88A"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0.41</w:t>
            </w:r>
          </w:p>
        </w:tc>
        <w:tc>
          <w:tcPr>
            <w:tcW w:w="840" w:type="dxa"/>
            <w:gridSpan w:val="2"/>
            <w:tcBorders>
              <w:top w:val="nil"/>
              <w:left w:val="nil"/>
              <w:bottom w:val="single" w:sz="8" w:space="0" w:color="auto"/>
              <w:right w:val="single" w:sz="8" w:space="0" w:color="auto"/>
            </w:tcBorders>
            <w:shd w:val="clear" w:color="000000" w:fill="D9E1F2"/>
            <w:noWrap/>
            <w:vAlign w:val="center"/>
            <w:hideMark/>
          </w:tcPr>
          <w:p w14:paraId="0B14386A"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0.069</w:t>
            </w:r>
          </w:p>
        </w:tc>
        <w:tc>
          <w:tcPr>
            <w:tcW w:w="896" w:type="dxa"/>
            <w:gridSpan w:val="2"/>
            <w:tcBorders>
              <w:top w:val="nil"/>
              <w:left w:val="nil"/>
              <w:bottom w:val="single" w:sz="8" w:space="0" w:color="auto"/>
              <w:right w:val="single" w:sz="4" w:space="0" w:color="auto"/>
            </w:tcBorders>
            <w:shd w:val="clear" w:color="000000" w:fill="D9E1F2"/>
            <w:noWrap/>
            <w:vAlign w:val="center"/>
            <w:hideMark/>
          </w:tcPr>
          <w:p w14:paraId="21C4E96A"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0.050</w:t>
            </w:r>
          </w:p>
        </w:tc>
      </w:tr>
      <w:tr w:rsidR="00E216B2" w:rsidRPr="00E216B2" w14:paraId="0677A528" w14:textId="77777777" w:rsidTr="00C94F61">
        <w:trPr>
          <w:gridBefore w:val="1"/>
          <w:gridAfter w:val="1"/>
          <w:wBefore w:w="15" w:type="dxa"/>
          <w:wAfter w:w="23" w:type="dxa"/>
          <w:trHeight w:val="315"/>
        </w:trPr>
        <w:tc>
          <w:tcPr>
            <w:tcW w:w="8240" w:type="dxa"/>
            <w:gridSpan w:val="8"/>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71633866"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revised estimates provided by Party and accepted by the ERT</w:t>
            </w:r>
          </w:p>
        </w:tc>
      </w:tr>
      <w:tr w:rsidR="00E216B2" w:rsidRPr="00E216B2" w14:paraId="286EB2A1" w14:textId="77777777" w:rsidTr="00C94F61">
        <w:trPr>
          <w:gridBefore w:val="1"/>
          <w:wBefore w:w="15" w:type="dxa"/>
          <w:trHeight w:val="315"/>
        </w:trPr>
        <w:tc>
          <w:tcPr>
            <w:tcW w:w="2692" w:type="dxa"/>
            <w:tcBorders>
              <w:top w:val="nil"/>
              <w:left w:val="single" w:sz="4" w:space="0" w:color="auto"/>
              <w:bottom w:val="single" w:sz="8" w:space="0" w:color="auto"/>
              <w:right w:val="single" w:sz="8" w:space="0" w:color="auto"/>
            </w:tcBorders>
            <w:shd w:val="clear" w:color="auto" w:fill="auto"/>
            <w:noWrap/>
            <w:vAlign w:val="center"/>
            <w:hideMark/>
          </w:tcPr>
          <w:p w14:paraId="3707AC00"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814" w:type="dxa"/>
            <w:gridSpan w:val="3"/>
            <w:tcBorders>
              <w:top w:val="nil"/>
              <w:left w:val="nil"/>
              <w:bottom w:val="single" w:sz="8" w:space="0" w:color="auto"/>
              <w:right w:val="single" w:sz="8" w:space="0" w:color="auto"/>
            </w:tcBorders>
            <w:shd w:val="clear" w:color="auto" w:fill="auto"/>
            <w:noWrap/>
            <w:vAlign w:val="center"/>
            <w:hideMark/>
          </w:tcPr>
          <w:p w14:paraId="3C5E45E1"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021" w:type="dxa"/>
            <w:tcBorders>
              <w:top w:val="nil"/>
              <w:left w:val="nil"/>
              <w:bottom w:val="single" w:sz="8" w:space="0" w:color="auto"/>
              <w:right w:val="single" w:sz="8" w:space="0" w:color="auto"/>
            </w:tcBorders>
            <w:shd w:val="clear" w:color="auto" w:fill="auto"/>
            <w:noWrap/>
            <w:vAlign w:val="center"/>
            <w:hideMark/>
          </w:tcPr>
          <w:p w14:paraId="07ABA654"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0.005</w:t>
            </w:r>
          </w:p>
        </w:tc>
        <w:tc>
          <w:tcPr>
            <w:tcW w:w="840" w:type="dxa"/>
            <w:gridSpan w:val="2"/>
            <w:tcBorders>
              <w:top w:val="nil"/>
              <w:left w:val="nil"/>
              <w:bottom w:val="single" w:sz="8" w:space="0" w:color="auto"/>
              <w:right w:val="single" w:sz="8" w:space="0" w:color="auto"/>
            </w:tcBorders>
            <w:shd w:val="clear" w:color="auto" w:fill="auto"/>
            <w:noWrap/>
            <w:vAlign w:val="center"/>
            <w:hideMark/>
          </w:tcPr>
          <w:p w14:paraId="5F1892F8"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0.007</w:t>
            </w:r>
          </w:p>
        </w:tc>
        <w:tc>
          <w:tcPr>
            <w:tcW w:w="896" w:type="dxa"/>
            <w:gridSpan w:val="2"/>
            <w:tcBorders>
              <w:top w:val="nil"/>
              <w:left w:val="nil"/>
              <w:bottom w:val="single" w:sz="8" w:space="0" w:color="auto"/>
              <w:right w:val="single" w:sz="4" w:space="0" w:color="auto"/>
            </w:tcBorders>
            <w:shd w:val="clear" w:color="auto" w:fill="auto"/>
            <w:noWrap/>
            <w:vAlign w:val="center"/>
            <w:hideMark/>
          </w:tcPr>
          <w:p w14:paraId="4CCB259C"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0.001</w:t>
            </w:r>
          </w:p>
        </w:tc>
      </w:tr>
      <w:tr w:rsidR="00E216B2" w:rsidRPr="00E216B2" w14:paraId="445F709B" w14:textId="77777777" w:rsidTr="00C94F61">
        <w:trPr>
          <w:gridBefore w:val="1"/>
          <w:gridAfter w:val="1"/>
          <w:wBefore w:w="15" w:type="dxa"/>
          <w:wAfter w:w="23" w:type="dxa"/>
          <w:trHeight w:val="315"/>
        </w:trPr>
        <w:tc>
          <w:tcPr>
            <w:tcW w:w="8240" w:type="dxa"/>
            <w:gridSpan w:val="8"/>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6942D7D8"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technical correction deemed necessary by the  ERT</w:t>
            </w:r>
          </w:p>
        </w:tc>
      </w:tr>
      <w:tr w:rsidR="00E216B2" w:rsidRPr="00E216B2" w14:paraId="058ED75B" w14:textId="77777777" w:rsidTr="00C94F61">
        <w:trPr>
          <w:gridBefore w:val="1"/>
          <w:wBefore w:w="15" w:type="dxa"/>
          <w:trHeight w:val="315"/>
        </w:trPr>
        <w:tc>
          <w:tcPr>
            <w:tcW w:w="2692" w:type="dxa"/>
            <w:tcBorders>
              <w:top w:val="nil"/>
              <w:left w:val="single" w:sz="4" w:space="0" w:color="auto"/>
              <w:bottom w:val="single" w:sz="4" w:space="0" w:color="auto"/>
              <w:right w:val="single" w:sz="8" w:space="0" w:color="auto"/>
            </w:tcBorders>
            <w:shd w:val="clear" w:color="auto" w:fill="auto"/>
            <w:noWrap/>
            <w:vAlign w:val="center"/>
            <w:hideMark/>
          </w:tcPr>
          <w:p w14:paraId="1C6FBCCF"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814" w:type="dxa"/>
            <w:gridSpan w:val="3"/>
            <w:tcBorders>
              <w:top w:val="nil"/>
              <w:left w:val="nil"/>
              <w:bottom w:val="single" w:sz="4" w:space="0" w:color="auto"/>
              <w:right w:val="single" w:sz="8" w:space="0" w:color="auto"/>
            </w:tcBorders>
            <w:shd w:val="clear" w:color="auto" w:fill="auto"/>
            <w:noWrap/>
            <w:vAlign w:val="center"/>
            <w:hideMark/>
          </w:tcPr>
          <w:p w14:paraId="05AB0428"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021" w:type="dxa"/>
            <w:tcBorders>
              <w:top w:val="nil"/>
              <w:left w:val="nil"/>
              <w:bottom w:val="single" w:sz="4" w:space="0" w:color="auto"/>
              <w:right w:val="single" w:sz="8" w:space="0" w:color="auto"/>
            </w:tcBorders>
            <w:shd w:val="clear" w:color="auto" w:fill="auto"/>
            <w:noWrap/>
            <w:vAlign w:val="center"/>
            <w:hideMark/>
          </w:tcPr>
          <w:p w14:paraId="0CCB136E"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40" w:type="dxa"/>
            <w:gridSpan w:val="2"/>
            <w:tcBorders>
              <w:top w:val="nil"/>
              <w:left w:val="nil"/>
              <w:bottom w:val="single" w:sz="4" w:space="0" w:color="auto"/>
              <w:right w:val="single" w:sz="8" w:space="0" w:color="auto"/>
            </w:tcBorders>
            <w:shd w:val="clear" w:color="auto" w:fill="auto"/>
            <w:noWrap/>
            <w:vAlign w:val="center"/>
            <w:hideMark/>
          </w:tcPr>
          <w:p w14:paraId="65B50C78"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96" w:type="dxa"/>
            <w:gridSpan w:val="2"/>
            <w:tcBorders>
              <w:top w:val="nil"/>
              <w:left w:val="nil"/>
              <w:bottom w:val="single" w:sz="4" w:space="0" w:color="auto"/>
              <w:right w:val="single" w:sz="4" w:space="0" w:color="auto"/>
            </w:tcBorders>
            <w:shd w:val="clear" w:color="auto" w:fill="auto"/>
            <w:noWrap/>
            <w:vAlign w:val="center"/>
            <w:hideMark/>
          </w:tcPr>
          <w:p w14:paraId="6DAC498F"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r>
      <w:tr w:rsidR="00E216B2" w:rsidRPr="00E216B2" w14:paraId="6488FDC0" w14:textId="77777777" w:rsidTr="00C94F61">
        <w:trPr>
          <w:gridBefore w:val="1"/>
          <w:wBefore w:w="15" w:type="dxa"/>
          <w:trHeight w:val="780"/>
        </w:trPr>
        <w:tc>
          <w:tcPr>
            <w:tcW w:w="2692" w:type="dxa"/>
            <w:tcBorders>
              <w:top w:val="single" w:sz="4" w:space="0" w:color="auto"/>
              <w:left w:val="single" w:sz="8" w:space="0" w:color="auto"/>
              <w:bottom w:val="single" w:sz="8" w:space="0" w:color="auto"/>
              <w:right w:val="single" w:sz="8" w:space="0" w:color="auto"/>
            </w:tcBorders>
            <w:shd w:val="clear" w:color="000000" w:fill="D9E1F2"/>
            <w:vAlign w:val="center"/>
            <w:hideMark/>
          </w:tcPr>
          <w:p w14:paraId="53E880D2"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National total (row 141) including revised estimates and technical corrections accepted by MS</w:t>
            </w:r>
          </w:p>
        </w:tc>
        <w:tc>
          <w:tcPr>
            <w:tcW w:w="2814" w:type="dxa"/>
            <w:gridSpan w:val="3"/>
            <w:tcBorders>
              <w:top w:val="single" w:sz="4" w:space="0" w:color="auto"/>
              <w:left w:val="nil"/>
              <w:bottom w:val="single" w:sz="8" w:space="0" w:color="auto"/>
              <w:right w:val="single" w:sz="8" w:space="0" w:color="auto"/>
            </w:tcBorders>
            <w:shd w:val="clear" w:color="000000" w:fill="D9E1F2"/>
            <w:vAlign w:val="center"/>
            <w:hideMark/>
          </w:tcPr>
          <w:p w14:paraId="19A2CC10"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Calculated using data above</w:t>
            </w:r>
          </w:p>
        </w:tc>
        <w:tc>
          <w:tcPr>
            <w:tcW w:w="1021" w:type="dxa"/>
            <w:tcBorders>
              <w:top w:val="single" w:sz="4" w:space="0" w:color="auto"/>
              <w:left w:val="nil"/>
              <w:bottom w:val="single" w:sz="8" w:space="0" w:color="auto"/>
              <w:right w:val="single" w:sz="8" w:space="0" w:color="auto"/>
            </w:tcBorders>
            <w:shd w:val="clear" w:color="000000" w:fill="D9E1F2"/>
            <w:noWrap/>
            <w:vAlign w:val="center"/>
            <w:hideMark/>
          </w:tcPr>
          <w:p w14:paraId="157B3823"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0.413</w:t>
            </w:r>
          </w:p>
        </w:tc>
        <w:tc>
          <w:tcPr>
            <w:tcW w:w="840" w:type="dxa"/>
            <w:gridSpan w:val="2"/>
            <w:tcBorders>
              <w:top w:val="single" w:sz="4" w:space="0" w:color="auto"/>
              <w:left w:val="nil"/>
              <w:bottom w:val="single" w:sz="8" w:space="0" w:color="auto"/>
              <w:right w:val="single" w:sz="8" w:space="0" w:color="auto"/>
            </w:tcBorders>
            <w:shd w:val="clear" w:color="000000" w:fill="D9E1F2"/>
            <w:noWrap/>
            <w:vAlign w:val="center"/>
            <w:hideMark/>
          </w:tcPr>
          <w:p w14:paraId="332564A4"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0.076</w:t>
            </w:r>
          </w:p>
        </w:tc>
        <w:tc>
          <w:tcPr>
            <w:tcW w:w="896" w:type="dxa"/>
            <w:gridSpan w:val="2"/>
            <w:tcBorders>
              <w:top w:val="single" w:sz="4" w:space="0" w:color="auto"/>
              <w:left w:val="nil"/>
              <w:bottom w:val="single" w:sz="8" w:space="0" w:color="auto"/>
              <w:right w:val="single" w:sz="8" w:space="0" w:color="auto"/>
            </w:tcBorders>
            <w:shd w:val="clear" w:color="000000" w:fill="D9E1F2"/>
            <w:noWrap/>
            <w:vAlign w:val="center"/>
            <w:hideMark/>
          </w:tcPr>
          <w:p w14:paraId="3C92BDD2"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0.051</w:t>
            </w:r>
          </w:p>
        </w:tc>
      </w:tr>
      <w:tr w:rsidR="00E216B2" w:rsidRPr="00E216B2" w14:paraId="4F800DC4" w14:textId="77777777" w:rsidTr="00C94F61">
        <w:trPr>
          <w:gridBefore w:val="1"/>
          <w:wBefore w:w="15" w:type="dxa"/>
          <w:trHeight w:val="315"/>
        </w:trPr>
        <w:tc>
          <w:tcPr>
            <w:tcW w:w="2692" w:type="dxa"/>
            <w:tcBorders>
              <w:top w:val="nil"/>
              <w:left w:val="nil"/>
              <w:bottom w:val="nil"/>
              <w:right w:val="nil"/>
            </w:tcBorders>
            <w:shd w:val="clear" w:color="auto" w:fill="auto"/>
            <w:noWrap/>
            <w:vAlign w:val="bottom"/>
            <w:hideMark/>
          </w:tcPr>
          <w:p w14:paraId="767B8E21" w14:textId="77777777" w:rsidR="00E216B2" w:rsidRPr="00E216B2" w:rsidRDefault="00E216B2" w:rsidP="00E216B2">
            <w:pPr>
              <w:jc w:val="right"/>
              <w:rPr>
                <w:rFonts w:ascii="Calibri" w:hAnsi="Calibri" w:cs="Calibri"/>
                <w:b/>
                <w:bCs/>
                <w:color w:val="000000"/>
                <w:sz w:val="20"/>
                <w:lang w:eastAsia="en-GB"/>
              </w:rPr>
            </w:pPr>
          </w:p>
        </w:tc>
        <w:tc>
          <w:tcPr>
            <w:tcW w:w="2814" w:type="dxa"/>
            <w:gridSpan w:val="3"/>
            <w:tcBorders>
              <w:top w:val="nil"/>
              <w:left w:val="nil"/>
              <w:bottom w:val="nil"/>
              <w:right w:val="nil"/>
            </w:tcBorders>
            <w:shd w:val="clear" w:color="auto" w:fill="auto"/>
            <w:noWrap/>
            <w:vAlign w:val="bottom"/>
            <w:hideMark/>
          </w:tcPr>
          <w:p w14:paraId="7D0890F4" w14:textId="77777777" w:rsidR="00E216B2" w:rsidRPr="00E216B2" w:rsidRDefault="00E216B2" w:rsidP="00E216B2">
            <w:pPr>
              <w:rPr>
                <w:rFonts w:ascii="Times New Roman" w:hAnsi="Times New Roman" w:cs="Times New Roman"/>
                <w:sz w:val="20"/>
                <w:lang w:eastAsia="en-GB"/>
              </w:rPr>
            </w:pPr>
          </w:p>
        </w:tc>
        <w:tc>
          <w:tcPr>
            <w:tcW w:w="1021" w:type="dxa"/>
            <w:tcBorders>
              <w:top w:val="nil"/>
              <w:left w:val="nil"/>
              <w:bottom w:val="nil"/>
              <w:right w:val="nil"/>
            </w:tcBorders>
            <w:shd w:val="clear" w:color="auto" w:fill="auto"/>
            <w:noWrap/>
            <w:vAlign w:val="bottom"/>
            <w:hideMark/>
          </w:tcPr>
          <w:p w14:paraId="4CADE257" w14:textId="77777777" w:rsidR="00E216B2" w:rsidRPr="00E216B2" w:rsidRDefault="00E216B2" w:rsidP="00E216B2">
            <w:pPr>
              <w:rPr>
                <w:rFonts w:ascii="Times New Roman" w:hAnsi="Times New Roman" w:cs="Times New Roman"/>
                <w:sz w:val="20"/>
                <w:lang w:eastAsia="en-GB"/>
              </w:rPr>
            </w:pPr>
          </w:p>
        </w:tc>
        <w:tc>
          <w:tcPr>
            <w:tcW w:w="840" w:type="dxa"/>
            <w:gridSpan w:val="2"/>
            <w:tcBorders>
              <w:top w:val="nil"/>
              <w:left w:val="nil"/>
              <w:bottom w:val="nil"/>
              <w:right w:val="nil"/>
            </w:tcBorders>
            <w:shd w:val="clear" w:color="auto" w:fill="auto"/>
            <w:noWrap/>
            <w:vAlign w:val="bottom"/>
            <w:hideMark/>
          </w:tcPr>
          <w:p w14:paraId="45D10DA1" w14:textId="77777777" w:rsidR="00E216B2" w:rsidRPr="00E216B2" w:rsidRDefault="00E216B2" w:rsidP="00E216B2">
            <w:pPr>
              <w:rPr>
                <w:rFonts w:ascii="Times New Roman" w:hAnsi="Times New Roman" w:cs="Times New Roman"/>
                <w:sz w:val="20"/>
                <w:lang w:eastAsia="en-GB"/>
              </w:rPr>
            </w:pPr>
          </w:p>
        </w:tc>
        <w:tc>
          <w:tcPr>
            <w:tcW w:w="896" w:type="dxa"/>
            <w:gridSpan w:val="2"/>
            <w:tcBorders>
              <w:top w:val="nil"/>
              <w:left w:val="nil"/>
              <w:bottom w:val="nil"/>
              <w:right w:val="nil"/>
            </w:tcBorders>
            <w:shd w:val="clear" w:color="auto" w:fill="auto"/>
            <w:noWrap/>
            <w:vAlign w:val="bottom"/>
            <w:hideMark/>
          </w:tcPr>
          <w:p w14:paraId="0004B428" w14:textId="77777777" w:rsidR="00E216B2" w:rsidRPr="00E216B2" w:rsidRDefault="00E216B2" w:rsidP="00E216B2">
            <w:pPr>
              <w:rPr>
                <w:rFonts w:ascii="Times New Roman" w:hAnsi="Times New Roman" w:cs="Times New Roman"/>
                <w:sz w:val="20"/>
                <w:lang w:eastAsia="en-GB"/>
              </w:rPr>
            </w:pPr>
          </w:p>
        </w:tc>
      </w:tr>
      <w:tr w:rsidR="00E216B2" w:rsidRPr="00E216B2" w14:paraId="59C70F83" w14:textId="77777777" w:rsidTr="00C94F61">
        <w:trPr>
          <w:gridBefore w:val="1"/>
          <w:gridAfter w:val="1"/>
          <w:wBefore w:w="15" w:type="dxa"/>
          <w:wAfter w:w="23" w:type="dxa"/>
          <w:trHeight w:val="315"/>
        </w:trPr>
        <w:tc>
          <w:tcPr>
            <w:tcW w:w="2692" w:type="dxa"/>
            <w:tcBorders>
              <w:top w:val="single" w:sz="4" w:space="0" w:color="auto"/>
              <w:left w:val="single" w:sz="4" w:space="0" w:color="auto"/>
              <w:bottom w:val="single" w:sz="8" w:space="0" w:color="auto"/>
              <w:right w:val="nil"/>
            </w:tcBorders>
            <w:shd w:val="clear" w:color="000000" w:fill="8EA9DB"/>
            <w:noWrap/>
            <w:vAlign w:val="center"/>
            <w:hideMark/>
          </w:tcPr>
          <w:p w14:paraId="7E9CEA9F"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TSP</w:t>
            </w:r>
          </w:p>
        </w:tc>
        <w:tc>
          <w:tcPr>
            <w:tcW w:w="2814" w:type="dxa"/>
            <w:gridSpan w:val="3"/>
            <w:tcBorders>
              <w:top w:val="single" w:sz="4" w:space="0" w:color="auto"/>
              <w:left w:val="nil"/>
              <w:bottom w:val="single" w:sz="8" w:space="0" w:color="auto"/>
              <w:right w:val="nil"/>
            </w:tcBorders>
            <w:shd w:val="clear" w:color="000000" w:fill="8EA9DB"/>
            <w:noWrap/>
            <w:vAlign w:val="center"/>
            <w:hideMark/>
          </w:tcPr>
          <w:p w14:paraId="64E1DC55"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 </w:t>
            </w:r>
          </w:p>
        </w:tc>
        <w:tc>
          <w:tcPr>
            <w:tcW w:w="2734" w:type="dxa"/>
            <w:gridSpan w:val="4"/>
            <w:tcBorders>
              <w:top w:val="single" w:sz="4" w:space="0" w:color="auto"/>
              <w:left w:val="single" w:sz="8" w:space="0" w:color="auto"/>
              <w:bottom w:val="single" w:sz="8" w:space="0" w:color="auto"/>
              <w:right w:val="single" w:sz="4" w:space="0" w:color="auto"/>
            </w:tcBorders>
            <w:shd w:val="clear" w:color="000000" w:fill="8EA9DB"/>
            <w:noWrap/>
            <w:vAlign w:val="center"/>
            <w:hideMark/>
          </w:tcPr>
          <w:p w14:paraId="47CE8B69" w14:textId="77777777" w:rsidR="00E216B2" w:rsidRPr="00E216B2" w:rsidRDefault="00E216B2" w:rsidP="00E216B2">
            <w:pPr>
              <w:jc w:val="center"/>
              <w:rPr>
                <w:rFonts w:ascii="Calibri" w:hAnsi="Calibri" w:cs="Calibri"/>
                <w:b/>
                <w:bCs/>
                <w:color w:val="000000"/>
                <w:sz w:val="20"/>
                <w:lang w:eastAsia="en-GB"/>
              </w:rPr>
            </w:pPr>
            <w:r w:rsidRPr="00E216B2">
              <w:rPr>
                <w:rFonts w:ascii="Calibri" w:hAnsi="Calibri" w:cs="Calibri"/>
                <w:b/>
                <w:bCs/>
                <w:color w:val="000000"/>
                <w:sz w:val="20"/>
                <w:lang w:eastAsia="en-GB"/>
              </w:rPr>
              <w:t>Pollutant estimates (kt)</w:t>
            </w:r>
          </w:p>
        </w:tc>
      </w:tr>
      <w:tr w:rsidR="00E216B2" w:rsidRPr="00E216B2" w14:paraId="3D987379" w14:textId="77777777" w:rsidTr="00C94F61">
        <w:trPr>
          <w:gridBefore w:val="1"/>
          <w:gridAfter w:val="1"/>
          <w:wBefore w:w="15" w:type="dxa"/>
          <w:wAfter w:w="23" w:type="dxa"/>
          <w:trHeight w:val="315"/>
        </w:trPr>
        <w:tc>
          <w:tcPr>
            <w:tcW w:w="2692" w:type="dxa"/>
            <w:tcBorders>
              <w:top w:val="nil"/>
              <w:left w:val="single" w:sz="4" w:space="0" w:color="auto"/>
              <w:bottom w:val="single" w:sz="8" w:space="0" w:color="auto"/>
              <w:right w:val="single" w:sz="8" w:space="0" w:color="auto"/>
            </w:tcBorders>
            <w:shd w:val="clear" w:color="000000" w:fill="D9E1F2"/>
            <w:noWrap/>
            <w:vAlign w:val="center"/>
            <w:hideMark/>
          </w:tcPr>
          <w:p w14:paraId="44AB02A9"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National total as reported 2019 (row 141)</w:t>
            </w:r>
          </w:p>
        </w:tc>
        <w:tc>
          <w:tcPr>
            <w:tcW w:w="2814" w:type="dxa"/>
            <w:gridSpan w:val="3"/>
            <w:tcBorders>
              <w:top w:val="nil"/>
              <w:left w:val="nil"/>
              <w:bottom w:val="single" w:sz="8" w:space="0" w:color="auto"/>
              <w:right w:val="single" w:sz="8" w:space="0" w:color="auto"/>
            </w:tcBorders>
            <w:shd w:val="clear" w:color="000000" w:fill="D9E1F2"/>
            <w:noWrap/>
            <w:vAlign w:val="center"/>
            <w:hideMark/>
          </w:tcPr>
          <w:p w14:paraId="6F91E0B6" w14:textId="77777777" w:rsidR="00E216B2" w:rsidRPr="00E216B2" w:rsidRDefault="00E216B2" w:rsidP="00E216B2">
            <w:pPr>
              <w:rPr>
                <w:rFonts w:ascii="Calibri" w:hAnsi="Calibri" w:cs="Calibri"/>
                <w:b/>
                <w:bCs/>
                <w:color w:val="000000"/>
                <w:sz w:val="20"/>
                <w:lang w:eastAsia="en-GB"/>
              </w:rPr>
            </w:pPr>
            <w:r w:rsidRPr="00E216B2">
              <w:rPr>
                <w:rFonts w:ascii="Calibri" w:hAnsi="Calibri" w:cs="Calibri"/>
                <w:b/>
                <w:bCs/>
                <w:color w:val="000000"/>
                <w:sz w:val="20"/>
                <w:lang w:eastAsia="en-GB"/>
              </w:rPr>
              <w:t>Annex I, 15 February 2021</w:t>
            </w:r>
          </w:p>
        </w:tc>
        <w:tc>
          <w:tcPr>
            <w:tcW w:w="1021" w:type="dxa"/>
            <w:tcBorders>
              <w:top w:val="nil"/>
              <w:left w:val="nil"/>
              <w:bottom w:val="single" w:sz="8" w:space="0" w:color="auto"/>
              <w:right w:val="single" w:sz="8" w:space="0" w:color="auto"/>
            </w:tcBorders>
            <w:shd w:val="clear" w:color="000000" w:fill="D9E1F2"/>
            <w:noWrap/>
            <w:vAlign w:val="center"/>
            <w:hideMark/>
          </w:tcPr>
          <w:p w14:paraId="4A66A5B8"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5.49</w:t>
            </w:r>
          </w:p>
        </w:tc>
        <w:tc>
          <w:tcPr>
            <w:tcW w:w="840" w:type="dxa"/>
            <w:gridSpan w:val="2"/>
            <w:tcBorders>
              <w:top w:val="nil"/>
              <w:left w:val="nil"/>
              <w:bottom w:val="single" w:sz="8" w:space="0" w:color="auto"/>
              <w:right w:val="single" w:sz="8" w:space="0" w:color="auto"/>
            </w:tcBorders>
            <w:shd w:val="clear" w:color="000000" w:fill="D9E1F2"/>
            <w:noWrap/>
            <w:vAlign w:val="center"/>
            <w:hideMark/>
          </w:tcPr>
          <w:p w14:paraId="5EF06A92"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6.566</w:t>
            </w:r>
          </w:p>
        </w:tc>
        <w:tc>
          <w:tcPr>
            <w:tcW w:w="873" w:type="dxa"/>
            <w:tcBorders>
              <w:top w:val="nil"/>
              <w:left w:val="nil"/>
              <w:bottom w:val="single" w:sz="8" w:space="0" w:color="auto"/>
              <w:right w:val="single" w:sz="4" w:space="0" w:color="auto"/>
            </w:tcBorders>
            <w:shd w:val="clear" w:color="000000" w:fill="D9E1F2"/>
            <w:noWrap/>
            <w:vAlign w:val="center"/>
            <w:hideMark/>
          </w:tcPr>
          <w:p w14:paraId="48353E00"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5.871</w:t>
            </w:r>
          </w:p>
        </w:tc>
      </w:tr>
      <w:tr w:rsidR="00E216B2" w:rsidRPr="00E216B2" w14:paraId="41B2E709" w14:textId="77777777" w:rsidTr="00C94F61">
        <w:trPr>
          <w:gridBefore w:val="1"/>
          <w:gridAfter w:val="1"/>
          <w:wBefore w:w="15" w:type="dxa"/>
          <w:wAfter w:w="23" w:type="dxa"/>
          <w:trHeight w:val="315"/>
        </w:trPr>
        <w:tc>
          <w:tcPr>
            <w:tcW w:w="8240" w:type="dxa"/>
            <w:gridSpan w:val="8"/>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1C92AAE5"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revised estimates provided by Party and accepted by the ERT</w:t>
            </w:r>
          </w:p>
        </w:tc>
      </w:tr>
      <w:tr w:rsidR="00E216B2" w:rsidRPr="00E216B2" w14:paraId="058EA1AD" w14:textId="77777777" w:rsidTr="00C94F61">
        <w:trPr>
          <w:gridBefore w:val="1"/>
          <w:gridAfter w:val="1"/>
          <w:wBefore w:w="15" w:type="dxa"/>
          <w:wAfter w:w="23" w:type="dxa"/>
          <w:trHeight w:val="315"/>
        </w:trPr>
        <w:tc>
          <w:tcPr>
            <w:tcW w:w="2692" w:type="dxa"/>
            <w:tcBorders>
              <w:top w:val="nil"/>
              <w:left w:val="single" w:sz="4" w:space="0" w:color="auto"/>
              <w:bottom w:val="single" w:sz="8" w:space="0" w:color="auto"/>
              <w:right w:val="single" w:sz="8" w:space="0" w:color="auto"/>
            </w:tcBorders>
            <w:shd w:val="clear" w:color="auto" w:fill="auto"/>
            <w:noWrap/>
            <w:vAlign w:val="center"/>
            <w:hideMark/>
          </w:tcPr>
          <w:p w14:paraId="075627EE"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814" w:type="dxa"/>
            <w:gridSpan w:val="3"/>
            <w:tcBorders>
              <w:top w:val="nil"/>
              <w:left w:val="nil"/>
              <w:bottom w:val="single" w:sz="8" w:space="0" w:color="auto"/>
              <w:right w:val="single" w:sz="8" w:space="0" w:color="auto"/>
            </w:tcBorders>
            <w:shd w:val="clear" w:color="auto" w:fill="auto"/>
            <w:noWrap/>
            <w:vAlign w:val="center"/>
            <w:hideMark/>
          </w:tcPr>
          <w:p w14:paraId="0F4678E8"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021" w:type="dxa"/>
            <w:tcBorders>
              <w:top w:val="nil"/>
              <w:left w:val="nil"/>
              <w:bottom w:val="single" w:sz="8" w:space="0" w:color="auto"/>
              <w:right w:val="single" w:sz="8" w:space="0" w:color="auto"/>
            </w:tcBorders>
            <w:shd w:val="clear" w:color="auto" w:fill="auto"/>
            <w:noWrap/>
            <w:vAlign w:val="center"/>
            <w:hideMark/>
          </w:tcPr>
          <w:p w14:paraId="1D990C8A"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2.94</w:t>
            </w:r>
          </w:p>
        </w:tc>
        <w:tc>
          <w:tcPr>
            <w:tcW w:w="840" w:type="dxa"/>
            <w:gridSpan w:val="2"/>
            <w:tcBorders>
              <w:top w:val="nil"/>
              <w:left w:val="nil"/>
              <w:bottom w:val="single" w:sz="8" w:space="0" w:color="auto"/>
              <w:right w:val="single" w:sz="8" w:space="0" w:color="auto"/>
            </w:tcBorders>
            <w:shd w:val="clear" w:color="auto" w:fill="auto"/>
            <w:noWrap/>
            <w:vAlign w:val="center"/>
            <w:hideMark/>
          </w:tcPr>
          <w:p w14:paraId="1382BCB6"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4.03</w:t>
            </w:r>
          </w:p>
        </w:tc>
        <w:tc>
          <w:tcPr>
            <w:tcW w:w="873" w:type="dxa"/>
            <w:tcBorders>
              <w:top w:val="nil"/>
              <w:left w:val="nil"/>
              <w:bottom w:val="single" w:sz="8" w:space="0" w:color="auto"/>
              <w:right w:val="single" w:sz="4" w:space="0" w:color="auto"/>
            </w:tcBorders>
            <w:shd w:val="clear" w:color="auto" w:fill="auto"/>
            <w:noWrap/>
            <w:vAlign w:val="center"/>
            <w:hideMark/>
          </w:tcPr>
          <w:p w14:paraId="198E5CE6"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0.39</w:t>
            </w:r>
          </w:p>
        </w:tc>
      </w:tr>
      <w:tr w:rsidR="00E216B2" w:rsidRPr="00E216B2" w14:paraId="46B7A67C" w14:textId="77777777" w:rsidTr="00C94F61">
        <w:trPr>
          <w:gridBefore w:val="1"/>
          <w:gridAfter w:val="1"/>
          <w:wBefore w:w="15" w:type="dxa"/>
          <w:wAfter w:w="23" w:type="dxa"/>
          <w:trHeight w:val="315"/>
        </w:trPr>
        <w:tc>
          <w:tcPr>
            <w:tcW w:w="8240" w:type="dxa"/>
            <w:gridSpan w:val="8"/>
            <w:tcBorders>
              <w:top w:val="single" w:sz="8" w:space="0" w:color="auto"/>
              <w:left w:val="single" w:sz="4" w:space="0" w:color="auto"/>
              <w:bottom w:val="single" w:sz="8" w:space="0" w:color="auto"/>
              <w:right w:val="single" w:sz="4" w:space="0" w:color="auto"/>
            </w:tcBorders>
            <w:shd w:val="clear" w:color="000000" w:fill="FFFF00"/>
            <w:noWrap/>
            <w:vAlign w:val="center"/>
            <w:hideMark/>
          </w:tcPr>
          <w:p w14:paraId="4488948C"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Difference between original estimate and technical correction deemed necessary by the  ERT</w:t>
            </w:r>
          </w:p>
        </w:tc>
      </w:tr>
      <w:tr w:rsidR="00E216B2" w:rsidRPr="00E216B2" w14:paraId="2FBB7E26" w14:textId="77777777" w:rsidTr="00C94F61">
        <w:trPr>
          <w:gridBefore w:val="1"/>
          <w:gridAfter w:val="1"/>
          <w:wBefore w:w="15" w:type="dxa"/>
          <w:wAfter w:w="23" w:type="dxa"/>
          <w:trHeight w:val="315"/>
        </w:trPr>
        <w:tc>
          <w:tcPr>
            <w:tcW w:w="2692" w:type="dxa"/>
            <w:tcBorders>
              <w:top w:val="nil"/>
              <w:left w:val="single" w:sz="4" w:space="0" w:color="auto"/>
              <w:bottom w:val="single" w:sz="8" w:space="0" w:color="auto"/>
              <w:right w:val="single" w:sz="8" w:space="0" w:color="auto"/>
            </w:tcBorders>
            <w:shd w:val="clear" w:color="auto" w:fill="auto"/>
            <w:noWrap/>
            <w:vAlign w:val="center"/>
            <w:hideMark/>
          </w:tcPr>
          <w:p w14:paraId="0E7AC4E8"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2D3b Road paving with asphalt</w:t>
            </w:r>
          </w:p>
        </w:tc>
        <w:tc>
          <w:tcPr>
            <w:tcW w:w="2814" w:type="dxa"/>
            <w:gridSpan w:val="3"/>
            <w:tcBorders>
              <w:top w:val="nil"/>
              <w:left w:val="nil"/>
              <w:bottom w:val="single" w:sz="8" w:space="0" w:color="auto"/>
              <w:right w:val="single" w:sz="8" w:space="0" w:color="auto"/>
            </w:tcBorders>
            <w:shd w:val="clear" w:color="auto" w:fill="auto"/>
            <w:noWrap/>
            <w:vAlign w:val="center"/>
            <w:hideMark/>
          </w:tcPr>
          <w:p w14:paraId="16E0B44D"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 </w:t>
            </w:r>
          </w:p>
        </w:tc>
        <w:tc>
          <w:tcPr>
            <w:tcW w:w="1021" w:type="dxa"/>
            <w:tcBorders>
              <w:top w:val="nil"/>
              <w:left w:val="nil"/>
              <w:bottom w:val="single" w:sz="8" w:space="0" w:color="auto"/>
              <w:right w:val="single" w:sz="8" w:space="0" w:color="auto"/>
            </w:tcBorders>
            <w:shd w:val="clear" w:color="auto" w:fill="auto"/>
            <w:noWrap/>
            <w:vAlign w:val="center"/>
            <w:hideMark/>
          </w:tcPr>
          <w:p w14:paraId="4571B468"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40" w:type="dxa"/>
            <w:gridSpan w:val="2"/>
            <w:tcBorders>
              <w:top w:val="nil"/>
              <w:left w:val="nil"/>
              <w:bottom w:val="single" w:sz="8" w:space="0" w:color="auto"/>
              <w:right w:val="single" w:sz="8" w:space="0" w:color="auto"/>
            </w:tcBorders>
            <w:shd w:val="clear" w:color="auto" w:fill="auto"/>
            <w:noWrap/>
            <w:vAlign w:val="center"/>
            <w:hideMark/>
          </w:tcPr>
          <w:p w14:paraId="3622C9BB"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c>
          <w:tcPr>
            <w:tcW w:w="873" w:type="dxa"/>
            <w:tcBorders>
              <w:top w:val="nil"/>
              <w:left w:val="nil"/>
              <w:bottom w:val="single" w:sz="8" w:space="0" w:color="auto"/>
              <w:right w:val="single" w:sz="4" w:space="0" w:color="auto"/>
            </w:tcBorders>
            <w:shd w:val="clear" w:color="auto" w:fill="auto"/>
            <w:noWrap/>
            <w:vAlign w:val="center"/>
            <w:hideMark/>
          </w:tcPr>
          <w:p w14:paraId="6FA1DD81" w14:textId="77777777" w:rsidR="00E216B2" w:rsidRPr="00E216B2" w:rsidRDefault="00E216B2" w:rsidP="00E216B2">
            <w:pPr>
              <w:jc w:val="right"/>
              <w:rPr>
                <w:rFonts w:ascii="Calibri" w:hAnsi="Calibri" w:cs="Calibri"/>
                <w:color w:val="000000"/>
                <w:sz w:val="20"/>
                <w:lang w:eastAsia="en-GB"/>
              </w:rPr>
            </w:pPr>
            <w:r w:rsidRPr="00E216B2">
              <w:rPr>
                <w:rFonts w:ascii="Calibri" w:hAnsi="Calibri" w:cs="Calibri"/>
                <w:color w:val="000000"/>
                <w:sz w:val="20"/>
                <w:lang w:eastAsia="en-GB"/>
              </w:rPr>
              <w:t> </w:t>
            </w:r>
          </w:p>
        </w:tc>
      </w:tr>
      <w:tr w:rsidR="00E216B2" w:rsidRPr="00E216B2" w14:paraId="6846C916" w14:textId="77777777" w:rsidTr="00C94F61">
        <w:trPr>
          <w:gridBefore w:val="1"/>
          <w:gridAfter w:val="1"/>
          <w:wBefore w:w="15" w:type="dxa"/>
          <w:wAfter w:w="23" w:type="dxa"/>
          <w:trHeight w:val="780"/>
        </w:trPr>
        <w:tc>
          <w:tcPr>
            <w:tcW w:w="2692" w:type="dxa"/>
            <w:tcBorders>
              <w:top w:val="nil"/>
              <w:left w:val="single" w:sz="4" w:space="0" w:color="auto"/>
              <w:bottom w:val="single" w:sz="4" w:space="0" w:color="auto"/>
              <w:right w:val="single" w:sz="8" w:space="0" w:color="auto"/>
            </w:tcBorders>
            <w:shd w:val="clear" w:color="000000" w:fill="D9E1F2"/>
            <w:vAlign w:val="center"/>
            <w:hideMark/>
          </w:tcPr>
          <w:p w14:paraId="46E33B04"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National total (row 141) including revised estimates and technical corrections accepted by MS</w:t>
            </w:r>
          </w:p>
        </w:tc>
        <w:tc>
          <w:tcPr>
            <w:tcW w:w="2814" w:type="dxa"/>
            <w:gridSpan w:val="3"/>
            <w:tcBorders>
              <w:top w:val="nil"/>
              <w:left w:val="nil"/>
              <w:bottom w:val="single" w:sz="4" w:space="0" w:color="auto"/>
              <w:right w:val="single" w:sz="8" w:space="0" w:color="auto"/>
            </w:tcBorders>
            <w:shd w:val="clear" w:color="000000" w:fill="D9E1F2"/>
            <w:vAlign w:val="center"/>
            <w:hideMark/>
          </w:tcPr>
          <w:p w14:paraId="165BDFAC" w14:textId="77777777" w:rsidR="00E216B2" w:rsidRPr="00E216B2" w:rsidRDefault="00E216B2" w:rsidP="00E216B2">
            <w:pPr>
              <w:rPr>
                <w:rFonts w:ascii="Calibri" w:hAnsi="Calibri" w:cs="Calibri"/>
                <w:color w:val="000000"/>
                <w:sz w:val="20"/>
                <w:lang w:eastAsia="en-GB"/>
              </w:rPr>
            </w:pPr>
            <w:r w:rsidRPr="00E216B2">
              <w:rPr>
                <w:rFonts w:ascii="Calibri" w:hAnsi="Calibri" w:cs="Calibri"/>
                <w:color w:val="000000"/>
                <w:sz w:val="20"/>
                <w:lang w:eastAsia="en-GB"/>
              </w:rPr>
              <w:t>Calculated using data above</w:t>
            </w:r>
          </w:p>
        </w:tc>
        <w:tc>
          <w:tcPr>
            <w:tcW w:w="1021" w:type="dxa"/>
            <w:tcBorders>
              <w:top w:val="nil"/>
              <w:left w:val="nil"/>
              <w:bottom w:val="single" w:sz="4" w:space="0" w:color="auto"/>
              <w:right w:val="single" w:sz="8" w:space="0" w:color="auto"/>
            </w:tcBorders>
            <w:shd w:val="clear" w:color="000000" w:fill="D9E1F2"/>
            <w:noWrap/>
            <w:vAlign w:val="center"/>
            <w:hideMark/>
          </w:tcPr>
          <w:p w14:paraId="5DA08D71"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8.431</w:t>
            </w:r>
          </w:p>
        </w:tc>
        <w:tc>
          <w:tcPr>
            <w:tcW w:w="840" w:type="dxa"/>
            <w:gridSpan w:val="2"/>
            <w:tcBorders>
              <w:top w:val="nil"/>
              <w:left w:val="nil"/>
              <w:bottom w:val="single" w:sz="4" w:space="0" w:color="auto"/>
              <w:right w:val="single" w:sz="8" w:space="0" w:color="auto"/>
            </w:tcBorders>
            <w:shd w:val="clear" w:color="000000" w:fill="D9E1F2"/>
            <w:noWrap/>
            <w:vAlign w:val="center"/>
            <w:hideMark/>
          </w:tcPr>
          <w:p w14:paraId="735F1E96"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10.592</w:t>
            </w:r>
          </w:p>
        </w:tc>
        <w:tc>
          <w:tcPr>
            <w:tcW w:w="873" w:type="dxa"/>
            <w:tcBorders>
              <w:top w:val="nil"/>
              <w:left w:val="nil"/>
              <w:bottom w:val="single" w:sz="4" w:space="0" w:color="auto"/>
              <w:right w:val="single" w:sz="4" w:space="0" w:color="auto"/>
            </w:tcBorders>
            <w:shd w:val="clear" w:color="000000" w:fill="D9E1F2"/>
            <w:noWrap/>
            <w:vAlign w:val="center"/>
            <w:hideMark/>
          </w:tcPr>
          <w:p w14:paraId="232547F8" w14:textId="77777777" w:rsidR="00E216B2" w:rsidRPr="00E216B2" w:rsidRDefault="00E216B2" w:rsidP="00E216B2">
            <w:pPr>
              <w:jc w:val="right"/>
              <w:rPr>
                <w:rFonts w:ascii="Calibri" w:hAnsi="Calibri" w:cs="Calibri"/>
                <w:b/>
                <w:bCs/>
                <w:color w:val="000000"/>
                <w:sz w:val="20"/>
                <w:lang w:eastAsia="en-GB"/>
              </w:rPr>
            </w:pPr>
            <w:r w:rsidRPr="00E216B2">
              <w:rPr>
                <w:rFonts w:ascii="Calibri" w:hAnsi="Calibri" w:cs="Calibri"/>
                <w:b/>
                <w:bCs/>
                <w:color w:val="000000"/>
                <w:sz w:val="20"/>
                <w:lang w:eastAsia="en-GB"/>
              </w:rPr>
              <w:t>6.259</w:t>
            </w:r>
          </w:p>
        </w:tc>
      </w:tr>
    </w:tbl>
    <w:p w14:paraId="7861BA6A" w14:textId="77777777" w:rsidR="00E216B2" w:rsidRDefault="00E216B2" w:rsidP="0027042D"/>
    <w:sectPr w:rsidR="00E216B2" w:rsidSect="005905B3">
      <w:pgSz w:w="11906" w:h="16838" w:code="9"/>
      <w:pgMar w:top="1440" w:right="1797" w:bottom="1440" w:left="1797" w:header="709" w:footer="32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3A45E" w14:textId="77777777" w:rsidR="00D77CBB" w:rsidRDefault="00D77CBB">
      <w:r>
        <w:separator/>
      </w:r>
    </w:p>
    <w:p w14:paraId="71657380" w14:textId="77777777" w:rsidR="00D77CBB" w:rsidRDefault="00D77CBB"/>
  </w:endnote>
  <w:endnote w:type="continuationSeparator" w:id="0">
    <w:p w14:paraId="773AF7B8" w14:textId="77777777" w:rsidR="00D77CBB" w:rsidRDefault="00D77CBB">
      <w:r>
        <w:continuationSeparator/>
      </w:r>
    </w:p>
    <w:p w14:paraId="2C3E4AAD" w14:textId="77777777" w:rsidR="00D77CBB" w:rsidRDefault="00D77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embo">
    <w:charset w:val="00"/>
    <w:family w:val="roman"/>
    <w:pitch w:val="variable"/>
    <w:sig w:usb0="80000003" w:usb1="00000000" w:usb2="00000000" w:usb3="00000000" w:csb0="00000001" w:csb1="00000000"/>
  </w:font>
  <w:font w:name="Frutiger 55 Roman">
    <w:altName w:val="Corbe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7D2F6" w14:textId="4DB20DBC" w:rsidR="00D77CBB" w:rsidRPr="00C0006D" w:rsidRDefault="00D77CBB" w:rsidP="2A9278A2">
    <w:pPr>
      <w:pStyle w:val="Fuzeile"/>
      <w:rPr>
        <w:lang w:val="en-GB"/>
      </w:rPr>
    </w:pPr>
    <w:r w:rsidRPr="004E2277">
      <w:rPr>
        <w:lang w:val="en-GB"/>
      </w:rPr>
      <w:t>MONTENEGRO 2021</w:t>
    </w:r>
    <w:r w:rsidRPr="004E2277">
      <w:rPr>
        <w:lang w:val="en-GB"/>
      </w:rPr>
      <w:ptab w:relativeTo="margin" w:alignment="right" w:leader="none"/>
    </w:r>
    <w:r w:rsidRPr="004E2277">
      <w:rPr>
        <w:lang w:val="en-GB"/>
      </w:rPr>
      <w:t xml:space="preserve">Page </w:t>
    </w:r>
    <w:r w:rsidRPr="004E2277">
      <w:rPr>
        <w:noProof/>
        <w:lang w:val="en-GB"/>
      </w:rPr>
      <w:fldChar w:fldCharType="begin"/>
    </w:r>
    <w:r w:rsidRPr="004E2277">
      <w:rPr>
        <w:lang w:val="en-GB"/>
      </w:rPr>
      <w:instrText xml:space="preserve"> PAGE </w:instrText>
    </w:r>
    <w:r w:rsidRPr="004E2277">
      <w:rPr>
        <w:lang w:val="en-GB"/>
      </w:rPr>
      <w:fldChar w:fldCharType="separate"/>
    </w:r>
    <w:r w:rsidR="00AB3DE4">
      <w:rPr>
        <w:noProof/>
        <w:lang w:val="en-GB"/>
      </w:rPr>
      <w:t>45</w:t>
    </w:r>
    <w:r w:rsidRPr="004E2277">
      <w:rPr>
        <w:noProof/>
        <w:lang w:val="en-GB"/>
      </w:rPr>
      <w:fldChar w:fldCharType="end"/>
    </w:r>
    <w:r w:rsidRPr="004E2277">
      <w:rPr>
        <w:lang w:val="en-GB"/>
      </w:rPr>
      <w:t xml:space="preserve"> of </w:t>
    </w:r>
    <w:r w:rsidRPr="004E2277">
      <w:rPr>
        <w:noProof/>
        <w:lang w:val="en-GB"/>
      </w:rPr>
      <w:fldChar w:fldCharType="begin"/>
    </w:r>
    <w:r w:rsidRPr="004E2277">
      <w:rPr>
        <w:lang w:val="en-GB"/>
      </w:rPr>
      <w:instrText xml:space="preserve"> NUMPAGES  </w:instrText>
    </w:r>
    <w:r w:rsidRPr="004E2277">
      <w:rPr>
        <w:lang w:val="en-GB"/>
      </w:rPr>
      <w:fldChar w:fldCharType="separate"/>
    </w:r>
    <w:r w:rsidR="00AB3DE4">
      <w:rPr>
        <w:noProof/>
        <w:lang w:val="en-GB"/>
      </w:rPr>
      <w:t>45</w:t>
    </w:r>
    <w:r w:rsidRPr="004E2277">
      <w:rPr>
        <w:noProof/>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A88D5" w14:textId="77777777" w:rsidR="00D77CBB" w:rsidRDefault="00D77CBB">
      <w:r>
        <w:separator/>
      </w:r>
    </w:p>
    <w:p w14:paraId="0C0045B9" w14:textId="77777777" w:rsidR="00D77CBB" w:rsidRDefault="00D77CBB"/>
  </w:footnote>
  <w:footnote w:type="continuationSeparator" w:id="0">
    <w:p w14:paraId="1413A818" w14:textId="77777777" w:rsidR="00D77CBB" w:rsidRDefault="00D77CBB">
      <w:r>
        <w:continuationSeparator/>
      </w:r>
    </w:p>
    <w:p w14:paraId="51245000" w14:textId="77777777" w:rsidR="00D77CBB" w:rsidRDefault="00D77CBB"/>
  </w:footnote>
  <w:footnote w:id="1">
    <w:p w14:paraId="763B858F" w14:textId="77777777" w:rsidR="00D77CBB" w:rsidRPr="00D14DA7" w:rsidRDefault="00D77CBB" w:rsidP="00167FB9">
      <w:pPr>
        <w:pStyle w:val="Funotentext"/>
        <w:rPr>
          <w:lang w:val="en-US"/>
        </w:rPr>
      </w:pPr>
      <w:r>
        <w:rPr>
          <w:rStyle w:val="Funotenzeichen"/>
        </w:rPr>
        <w:footnoteRef/>
      </w:r>
      <w:r>
        <w:t xml:space="preserve"> Decision 2018/1 adopted by EB:   </w:t>
      </w:r>
      <w:r w:rsidRPr="5BFD856F">
        <w:rPr>
          <w:i/>
          <w:iCs/>
        </w:rPr>
        <w:t>Updated methods and procedures for the technical review of air pollutant emission Inventories reported under the Convention</w:t>
      </w:r>
      <w:r w:rsidRPr="003771AD">
        <w:t xml:space="preserve">. ECE/EB.AIR/142/Add.1 </w:t>
      </w:r>
      <w:hyperlink r:id="rId1" w:history="1">
        <w:r w:rsidRPr="003771AD">
          <w:rPr>
            <w:rFonts w:cs="Arial"/>
            <w:color w:val="0000FF"/>
            <w:u w:val="single"/>
            <w:lang w:eastAsia="en-US"/>
          </w:rPr>
          <w:t>http://www.unece.org/fileadmin/DAM/env/documents/2002/eb/air/EB%20Decisions/Decision_2018_1.pdf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774C"/>
    <w:multiLevelType w:val="hybridMultilevel"/>
    <w:tmpl w:val="DDF0CE76"/>
    <w:lvl w:ilvl="0" w:tplc="041D0001">
      <w:start w:val="1"/>
      <w:numFmt w:val="bullet"/>
      <w:lvlText w:val=""/>
      <w:lvlJc w:val="left"/>
      <w:pPr>
        <w:ind w:left="783" w:hanging="360"/>
      </w:pPr>
      <w:rPr>
        <w:rFonts w:ascii="Symbol" w:hAnsi="Symbol" w:hint="default"/>
      </w:rPr>
    </w:lvl>
    <w:lvl w:ilvl="1" w:tplc="041D0003" w:tentative="1">
      <w:start w:val="1"/>
      <w:numFmt w:val="bullet"/>
      <w:lvlText w:val="o"/>
      <w:lvlJc w:val="left"/>
      <w:pPr>
        <w:ind w:left="1503" w:hanging="360"/>
      </w:pPr>
      <w:rPr>
        <w:rFonts w:ascii="Courier New" w:hAnsi="Courier New" w:cs="Courier New" w:hint="default"/>
      </w:rPr>
    </w:lvl>
    <w:lvl w:ilvl="2" w:tplc="041D0005" w:tentative="1">
      <w:start w:val="1"/>
      <w:numFmt w:val="bullet"/>
      <w:lvlText w:val=""/>
      <w:lvlJc w:val="left"/>
      <w:pPr>
        <w:ind w:left="2223" w:hanging="360"/>
      </w:pPr>
      <w:rPr>
        <w:rFonts w:ascii="Wingdings" w:hAnsi="Wingdings" w:hint="default"/>
      </w:rPr>
    </w:lvl>
    <w:lvl w:ilvl="3" w:tplc="041D0001" w:tentative="1">
      <w:start w:val="1"/>
      <w:numFmt w:val="bullet"/>
      <w:lvlText w:val=""/>
      <w:lvlJc w:val="left"/>
      <w:pPr>
        <w:ind w:left="2943" w:hanging="360"/>
      </w:pPr>
      <w:rPr>
        <w:rFonts w:ascii="Symbol" w:hAnsi="Symbol" w:hint="default"/>
      </w:rPr>
    </w:lvl>
    <w:lvl w:ilvl="4" w:tplc="041D0003" w:tentative="1">
      <w:start w:val="1"/>
      <w:numFmt w:val="bullet"/>
      <w:lvlText w:val="o"/>
      <w:lvlJc w:val="left"/>
      <w:pPr>
        <w:ind w:left="3663" w:hanging="360"/>
      </w:pPr>
      <w:rPr>
        <w:rFonts w:ascii="Courier New" w:hAnsi="Courier New" w:cs="Courier New" w:hint="default"/>
      </w:rPr>
    </w:lvl>
    <w:lvl w:ilvl="5" w:tplc="041D0005" w:tentative="1">
      <w:start w:val="1"/>
      <w:numFmt w:val="bullet"/>
      <w:lvlText w:val=""/>
      <w:lvlJc w:val="left"/>
      <w:pPr>
        <w:ind w:left="4383" w:hanging="360"/>
      </w:pPr>
      <w:rPr>
        <w:rFonts w:ascii="Wingdings" w:hAnsi="Wingdings" w:hint="default"/>
      </w:rPr>
    </w:lvl>
    <w:lvl w:ilvl="6" w:tplc="041D0001" w:tentative="1">
      <w:start w:val="1"/>
      <w:numFmt w:val="bullet"/>
      <w:lvlText w:val=""/>
      <w:lvlJc w:val="left"/>
      <w:pPr>
        <w:ind w:left="5103" w:hanging="360"/>
      </w:pPr>
      <w:rPr>
        <w:rFonts w:ascii="Symbol" w:hAnsi="Symbol" w:hint="default"/>
      </w:rPr>
    </w:lvl>
    <w:lvl w:ilvl="7" w:tplc="041D0003" w:tentative="1">
      <w:start w:val="1"/>
      <w:numFmt w:val="bullet"/>
      <w:lvlText w:val="o"/>
      <w:lvlJc w:val="left"/>
      <w:pPr>
        <w:ind w:left="5823" w:hanging="360"/>
      </w:pPr>
      <w:rPr>
        <w:rFonts w:ascii="Courier New" w:hAnsi="Courier New" w:cs="Courier New" w:hint="default"/>
      </w:rPr>
    </w:lvl>
    <w:lvl w:ilvl="8" w:tplc="041D0005" w:tentative="1">
      <w:start w:val="1"/>
      <w:numFmt w:val="bullet"/>
      <w:lvlText w:val=""/>
      <w:lvlJc w:val="left"/>
      <w:pPr>
        <w:ind w:left="6543" w:hanging="360"/>
      </w:pPr>
      <w:rPr>
        <w:rFonts w:ascii="Wingdings" w:hAnsi="Wingdings" w:hint="default"/>
      </w:rPr>
    </w:lvl>
  </w:abstractNum>
  <w:abstractNum w:abstractNumId="1" w15:restartNumberingAfterBreak="0">
    <w:nsid w:val="2458797E"/>
    <w:multiLevelType w:val="hybridMultilevel"/>
    <w:tmpl w:val="DE74AC64"/>
    <w:lvl w:ilvl="0" w:tplc="0C07000F">
      <w:start w:val="1"/>
      <w:numFmt w:val="decimal"/>
      <w:lvlText w:val="%1."/>
      <w:lvlJc w:val="left"/>
      <w:pPr>
        <w:ind w:left="720" w:hanging="360"/>
      </w:pPr>
      <w:rPr>
        <w:rFont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F7D28DB"/>
    <w:multiLevelType w:val="multilevel"/>
    <w:tmpl w:val="4CC6C668"/>
    <w:name w:val="Reg15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 w15:restartNumberingAfterBreak="0">
    <w:nsid w:val="539D6D39"/>
    <w:multiLevelType w:val="hybridMultilevel"/>
    <w:tmpl w:val="81D0A5AC"/>
    <w:lvl w:ilvl="0" w:tplc="FFFFFFF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077669"/>
    <w:multiLevelType w:val="hybridMultilevel"/>
    <w:tmpl w:val="DF8EF50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5C9D44B1"/>
    <w:multiLevelType w:val="multilevel"/>
    <w:tmpl w:val="4CC6C668"/>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 w15:restartNumberingAfterBreak="0">
    <w:nsid w:val="6608041B"/>
    <w:multiLevelType w:val="hybridMultilevel"/>
    <w:tmpl w:val="4148F9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7494202A"/>
    <w:multiLevelType w:val="multilevel"/>
    <w:tmpl w:val="4C36157E"/>
    <w:lvl w:ilvl="0">
      <w:start w:val="1"/>
      <w:numFmt w:val="upperRoman"/>
      <w:pStyle w:val="RegHead1"/>
      <w:suff w:val="space"/>
      <w:lvlText w:val="%1. "/>
      <w:lvlJc w:val="center"/>
      <w:pPr>
        <w:ind w:left="0" w:firstLine="0"/>
      </w:pPr>
      <w:rPr>
        <w:sz w:val="28"/>
      </w:rPr>
    </w:lvl>
    <w:lvl w:ilvl="1">
      <w:start w:val="1"/>
      <w:numFmt w:val="upperLetter"/>
      <w:pStyle w:val="RegHead2"/>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pStyle w:val="RegPara"/>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 w15:restartNumberingAfterBreak="0">
    <w:nsid w:val="799930E3"/>
    <w:multiLevelType w:val="multilevel"/>
    <w:tmpl w:val="F4AC220A"/>
    <w:lvl w:ilvl="0">
      <w:start w:val="1"/>
      <w:numFmt w:val="upperLetter"/>
      <w:pStyle w:val="Annex"/>
      <w:lvlText w:val="Annex %1: "/>
      <w:lvlJc w:val="left"/>
      <w:pPr>
        <w:tabs>
          <w:tab w:val="num" w:pos="144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8"/>
  </w:num>
  <w:num w:numId="3">
    <w:abstractNumId w:val="3"/>
  </w:num>
  <w:num w:numId="4">
    <w:abstractNumId w:val="4"/>
  </w:num>
  <w:num w:numId="5">
    <w:abstractNumId w:val="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6"/>
  </w:num>
  <w:num w:numId="2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281"/>
    <w:rsid w:val="000028A9"/>
    <w:rsid w:val="00002FB7"/>
    <w:rsid w:val="0001649B"/>
    <w:rsid w:val="00027BF9"/>
    <w:rsid w:val="000404AB"/>
    <w:rsid w:val="00055A97"/>
    <w:rsid w:val="00056DF4"/>
    <w:rsid w:val="000626C9"/>
    <w:rsid w:val="00064D68"/>
    <w:rsid w:val="000650B8"/>
    <w:rsid w:val="000725B8"/>
    <w:rsid w:val="00075A20"/>
    <w:rsid w:val="00080F6D"/>
    <w:rsid w:val="00082698"/>
    <w:rsid w:val="000840C2"/>
    <w:rsid w:val="000935E1"/>
    <w:rsid w:val="000A6A4C"/>
    <w:rsid w:val="000D5B20"/>
    <w:rsid w:val="000D7F5D"/>
    <w:rsid w:val="000E15B2"/>
    <w:rsid w:val="000E3026"/>
    <w:rsid w:val="000F7CEB"/>
    <w:rsid w:val="001030D4"/>
    <w:rsid w:val="00112A7C"/>
    <w:rsid w:val="00120FDD"/>
    <w:rsid w:val="00124425"/>
    <w:rsid w:val="00131AE3"/>
    <w:rsid w:val="00140C7C"/>
    <w:rsid w:val="001443A3"/>
    <w:rsid w:val="00145EDA"/>
    <w:rsid w:val="0014655A"/>
    <w:rsid w:val="00154678"/>
    <w:rsid w:val="00167FB9"/>
    <w:rsid w:val="00190B88"/>
    <w:rsid w:val="001A3ED6"/>
    <w:rsid w:val="001C1289"/>
    <w:rsid w:val="001D74C9"/>
    <w:rsid w:val="001E2285"/>
    <w:rsid w:val="001E3109"/>
    <w:rsid w:val="001E3F75"/>
    <w:rsid w:val="001E7C33"/>
    <w:rsid w:val="001E7DC9"/>
    <w:rsid w:val="0020114E"/>
    <w:rsid w:val="0020658D"/>
    <w:rsid w:val="00213A1E"/>
    <w:rsid w:val="00231097"/>
    <w:rsid w:val="002321B4"/>
    <w:rsid w:val="00233D9D"/>
    <w:rsid w:val="00237DFD"/>
    <w:rsid w:val="0027042D"/>
    <w:rsid w:val="00270C42"/>
    <w:rsid w:val="00274C5E"/>
    <w:rsid w:val="002778EB"/>
    <w:rsid w:val="00282E68"/>
    <w:rsid w:val="002B09D3"/>
    <w:rsid w:val="002C4DB1"/>
    <w:rsid w:val="002C577B"/>
    <w:rsid w:val="002C6E8A"/>
    <w:rsid w:val="002D315A"/>
    <w:rsid w:val="002D4DBA"/>
    <w:rsid w:val="002E5D60"/>
    <w:rsid w:val="003007F4"/>
    <w:rsid w:val="00302F5A"/>
    <w:rsid w:val="00307B39"/>
    <w:rsid w:val="0033495E"/>
    <w:rsid w:val="003377C8"/>
    <w:rsid w:val="003426DC"/>
    <w:rsid w:val="00345EAE"/>
    <w:rsid w:val="00346CF7"/>
    <w:rsid w:val="00352F75"/>
    <w:rsid w:val="00357B38"/>
    <w:rsid w:val="003617CC"/>
    <w:rsid w:val="003771AD"/>
    <w:rsid w:val="00385A7C"/>
    <w:rsid w:val="00392174"/>
    <w:rsid w:val="003A47B5"/>
    <w:rsid w:val="003B1DD0"/>
    <w:rsid w:val="003D2FB2"/>
    <w:rsid w:val="003E2DD3"/>
    <w:rsid w:val="003E722A"/>
    <w:rsid w:val="003F1F3D"/>
    <w:rsid w:val="00402F45"/>
    <w:rsid w:val="004036EA"/>
    <w:rsid w:val="00426535"/>
    <w:rsid w:val="004274B7"/>
    <w:rsid w:val="004278E4"/>
    <w:rsid w:val="00440033"/>
    <w:rsid w:val="004433D1"/>
    <w:rsid w:val="00443AD2"/>
    <w:rsid w:val="004469BF"/>
    <w:rsid w:val="00450840"/>
    <w:rsid w:val="00451AB7"/>
    <w:rsid w:val="004525EE"/>
    <w:rsid w:val="00453974"/>
    <w:rsid w:val="00456173"/>
    <w:rsid w:val="004651CA"/>
    <w:rsid w:val="004770FD"/>
    <w:rsid w:val="00481843"/>
    <w:rsid w:val="00483685"/>
    <w:rsid w:val="00487EA8"/>
    <w:rsid w:val="004947FF"/>
    <w:rsid w:val="004976CC"/>
    <w:rsid w:val="004A47C9"/>
    <w:rsid w:val="004B1F97"/>
    <w:rsid w:val="004B733A"/>
    <w:rsid w:val="004C318B"/>
    <w:rsid w:val="004C50D3"/>
    <w:rsid w:val="004D0662"/>
    <w:rsid w:val="004D51CF"/>
    <w:rsid w:val="004E2277"/>
    <w:rsid w:val="004F34C2"/>
    <w:rsid w:val="004F7482"/>
    <w:rsid w:val="00504173"/>
    <w:rsid w:val="00504A09"/>
    <w:rsid w:val="00513C26"/>
    <w:rsid w:val="00514061"/>
    <w:rsid w:val="005145FD"/>
    <w:rsid w:val="00517ABF"/>
    <w:rsid w:val="00521E97"/>
    <w:rsid w:val="0052517F"/>
    <w:rsid w:val="0052604F"/>
    <w:rsid w:val="005320C7"/>
    <w:rsid w:val="005334C0"/>
    <w:rsid w:val="00552130"/>
    <w:rsid w:val="0056353E"/>
    <w:rsid w:val="005656B6"/>
    <w:rsid w:val="00566434"/>
    <w:rsid w:val="00566487"/>
    <w:rsid w:val="00571CF9"/>
    <w:rsid w:val="00573E36"/>
    <w:rsid w:val="005905B3"/>
    <w:rsid w:val="00594688"/>
    <w:rsid w:val="005A1D54"/>
    <w:rsid w:val="005C2E53"/>
    <w:rsid w:val="005C7B07"/>
    <w:rsid w:val="005D058A"/>
    <w:rsid w:val="005E7ABC"/>
    <w:rsid w:val="005F0B04"/>
    <w:rsid w:val="005F7A54"/>
    <w:rsid w:val="00600BE4"/>
    <w:rsid w:val="006033E0"/>
    <w:rsid w:val="00610709"/>
    <w:rsid w:val="0061417F"/>
    <w:rsid w:val="00625D0E"/>
    <w:rsid w:val="00632720"/>
    <w:rsid w:val="006335A3"/>
    <w:rsid w:val="00643E97"/>
    <w:rsid w:val="00657C77"/>
    <w:rsid w:val="0066464F"/>
    <w:rsid w:val="00670173"/>
    <w:rsid w:val="00670E06"/>
    <w:rsid w:val="00673F71"/>
    <w:rsid w:val="00696240"/>
    <w:rsid w:val="0069677F"/>
    <w:rsid w:val="006A5E6D"/>
    <w:rsid w:val="006B4A01"/>
    <w:rsid w:val="006B6009"/>
    <w:rsid w:val="006C2CF0"/>
    <w:rsid w:val="006C485B"/>
    <w:rsid w:val="006C4E24"/>
    <w:rsid w:val="006D78A0"/>
    <w:rsid w:val="006E11DE"/>
    <w:rsid w:val="006E3A67"/>
    <w:rsid w:val="00701F85"/>
    <w:rsid w:val="007229F6"/>
    <w:rsid w:val="007320CC"/>
    <w:rsid w:val="007357B6"/>
    <w:rsid w:val="00741B2E"/>
    <w:rsid w:val="00747005"/>
    <w:rsid w:val="007543F3"/>
    <w:rsid w:val="00763AE6"/>
    <w:rsid w:val="00771EA5"/>
    <w:rsid w:val="00773F38"/>
    <w:rsid w:val="0077797C"/>
    <w:rsid w:val="00790257"/>
    <w:rsid w:val="00790FE3"/>
    <w:rsid w:val="007A2363"/>
    <w:rsid w:val="007C0AB0"/>
    <w:rsid w:val="007C26FE"/>
    <w:rsid w:val="007C42B0"/>
    <w:rsid w:val="007C6945"/>
    <w:rsid w:val="007D6A7C"/>
    <w:rsid w:val="007E0348"/>
    <w:rsid w:val="007E2EF1"/>
    <w:rsid w:val="007F5740"/>
    <w:rsid w:val="0080413B"/>
    <w:rsid w:val="008060B1"/>
    <w:rsid w:val="0081614D"/>
    <w:rsid w:val="00817634"/>
    <w:rsid w:val="00821BE7"/>
    <w:rsid w:val="00827B72"/>
    <w:rsid w:val="00827EBD"/>
    <w:rsid w:val="00837AAD"/>
    <w:rsid w:val="008511BC"/>
    <w:rsid w:val="00853997"/>
    <w:rsid w:val="00856491"/>
    <w:rsid w:val="008666D8"/>
    <w:rsid w:val="00867924"/>
    <w:rsid w:val="0087663E"/>
    <w:rsid w:val="00886CED"/>
    <w:rsid w:val="008921E2"/>
    <w:rsid w:val="008B32B0"/>
    <w:rsid w:val="008C5FD8"/>
    <w:rsid w:val="008C77D3"/>
    <w:rsid w:val="008D003B"/>
    <w:rsid w:val="008D04CE"/>
    <w:rsid w:val="008D6355"/>
    <w:rsid w:val="008D691E"/>
    <w:rsid w:val="008E0390"/>
    <w:rsid w:val="008E4B0E"/>
    <w:rsid w:val="008F09E2"/>
    <w:rsid w:val="008F3780"/>
    <w:rsid w:val="008F3BB8"/>
    <w:rsid w:val="00940C68"/>
    <w:rsid w:val="00945281"/>
    <w:rsid w:val="009557B4"/>
    <w:rsid w:val="00964F62"/>
    <w:rsid w:val="0098107D"/>
    <w:rsid w:val="00982F83"/>
    <w:rsid w:val="00984711"/>
    <w:rsid w:val="009912D5"/>
    <w:rsid w:val="009914B2"/>
    <w:rsid w:val="00993E94"/>
    <w:rsid w:val="009B6B2C"/>
    <w:rsid w:val="00A02E80"/>
    <w:rsid w:val="00A0395B"/>
    <w:rsid w:val="00A14966"/>
    <w:rsid w:val="00A34A6C"/>
    <w:rsid w:val="00A35259"/>
    <w:rsid w:val="00A35467"/>
    <w:rsid w:val="00A4131B"/>
    <w:rsid w:val="00A536D2"/>
    <w:rsid w:val="00A5442B"/>
    <w:rsid w:val="00A75B33"/>
    <w:rsid w:val="00A8140F"/>
    <w:rsid w:val="00A83B51"/>
    <w:rsid w:val="00A940A7"/>
    <w:rsid w:val="00AA4D3A"/>
    <w:rsid w:val="00AB3DE4"/>
    <w:rsid w:val="00AC07FB"/>
    <w:rsid w:val="00AC57A7"/>
    <w:rsid w:val="00AD01ED"/>
    <w:rsid w:val="00AD5A17"/>
    <w:rsid w:val="00B07909"/>
    <w:rsid w:val="00B12B0D"/>
    <w:rsid w:val="00B15CD7"/>
    <w:rsid w:val="00B37E3F"/>
    <w:rsid w:val="00B44395"/>
    <w:rsid w:val="00B545B3"/>
    <w:rsid w:val="00B56629"/>
    <w:rsid w:val="00B70A74"/>
    <w:rsid w:val="00B80144"/>
    <w:rsid w:val="00B824CA"/>
    <w:rsid w:val="00B93F02"/>
    <w:rsid w:val="00BA1F33"/>
    <w:rsid w:val="00BA7317"/>
    <w:rsid w:val="00BA78CC"/>
    <w:rsid w:val="00BB09E2"/>
    <w:rsid w:val="00BB5EA0"/>
    <w:rsid w:val="00BE1049"/>
    <w:rsid w:val="00BE518A"/>
    <w:rsid w:val="00BE7C84"/>
    <w:rsid w:val="00BF2685"/>
    <w:rsid w:val="00BF7D4E"/>
    <w:rsid w:val="00C0006D"/>
    <w:rsid w:val="00C135AE"/>
    <w:rsid w:val="00C15B78"/>
    <w:rsid w:val="00C16D1A"/>
    <w:rsid w:val="00C200E9"/>
    <w:rsid w:val="00C20C4B"/>
    <w:rsid w:val="00C21694"/>
    <w:rsid w:val="00C21C18"/>
    <w:rsid w:val="00C231E1"/>
    <w:rsid w:val="00C31209"/>
    <w:rsid w:val="00C359C2"/>
    <w:rsid w:val="00C37481"/>
    <w:rsid w:val="00C54A10"/>
    <w:rsid w:val="00C61EB5"/>
    <w:rsid w:val="00C64C51"/>
    <w:rsid w:val="00C753DA"/>
    <w:rsid w:val="00C7602D"/>
    <w:rsid w:val="00C84633"/>
    <w:rsid w:val="00C91A20"/>
    <w:rsid w:val="00C94F61"/>
    <w:rsid w:val="00C962A2"/>
    <w:rsid w:val="00C9726B"/>
    <w:rsid w:val="00CA1040"/>
    <w:rsid w:val="00CA2722"/>
    <w:rsid w:val="00CB58DF"/>
    <w:rsid w:val="00CB7869"/>
    <w:rsid w:val="00CC0D58"/>
    <w:rsid w:val="00CC36AC"/>
    <w:rsid w:val="00CE0759"/>
    <w:rsid w:val="00CE3718"/>
    <w:rsid w:val="00CE44C1"/>
    <w:rsid w:val="00CF5D8A"/>
    <w:rsid w:val="00D00CF6"/>
    <w:rsid w:val="00D07B7A"/>
    <w:rsid w:val="00D14DA7"/>
    <w:rsid w:val="00D32045"/>
    <w:rsid w:val="00D35F8C"/>
    <w:rsid w:val="00D4597D"/>
    <w:rsid w:val="00D616AD"/>
    <w:rsid w:val="00D77CBB"/>
    <w:rsid w:val="00D85304"/>
    <w:rsid w:val="00DB2B63"/>
    <w:rsid w:val="00DB561F"/>
    <w:rsid w:val="00DC3D96"/>
    <w:rsid w:val="00DD1026"/>
    <w:rsid w:val="00DD4885"/>
    <w:rsid w:val="00DF0315"/>
    <w:rsid w:val="00DF578E"/>
    <w:rsid w:val="00E03C23"/>
    <w:rsid w:val="00E216B2"/>
    <w:rsid w:val="00E477F3"/>
    <w:rsid w:val="00E56AF7"/>
    <w:rsid w:val="00E64C0F"/>
    <w:rsid w:val="00E77C19"/>
    <w:rsid w:val="00E82F59"/>
    <w:rsid w:val="00E96370"/>
    <w:rsid w:val="00EA295B"/>
    <w:rsid w:val="00EA45F0"/>
    <w:rsid w:val="00EB353A"/>
    <w:rsid w:val="00EB515B"/>
    <w:rsid w:val="00EB68E5"/>
    <w:rsid w:val="00EC37DC"/>
    <w:rsid w:val="00EC7F09"/>
    <w:rsid w:val="00ED2DD5"/>
    <w:rsid w:val="00EE4050"/>
    <w:rsid w:val="00EF0DEB"/>
    <w:rsid w:val="00EF2768"/>
    <w:rsid w:val="00F1369D"/>
    <w:rsid w:val="00F267DD"/>
    <w:rsid w:val="00F27917"/>
    <w:rsid w:val="00F33FEE"/>
    <w:rsid w:val="00F405C9"/>
    <w:rsid w:val="00F50C4A"/>
    <w:rsid w:val="00F52FD1"/>
    <w:rsid w:val="00F67B87"/>
    <w:rsid w:val="00F7227F"/>
    <w:rsid w:val="00F76899"/>
    <w:rsid w:val="00F83AF8"/>
    <w:rsid w:val="00F85527"/>
    <w:rsid w:val="00FA4CF8"/>
    <w:rsid w:val="00FD4770"/>
    <w:rsid w:val="00FD60A7"/>
    <w:rsid w:val="00FE2DD2"/>
    <w:rsid w:val="00FE34E0"/>
    <w:rsid w:val="00FF3E0A"/>
    <w:rsid w:val="0B5AB0B5"/>
    <w:rsid w:val="1927D599"/>
    <w:rsid w:val="2A9278A2"/>
    <w:rsid w:val="429F33C3"/>
    <w:rsid w:val="4CAD893A"/>
    <w:rsid w:val="4E2328F7"/>
    <w:rsid w:val="4E500920"/>
    <w:rsid w:val="616C59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7D774BA"/>
  <w15:docId w15:val="{0336D08F-19DF-42DA-A557-54ACBBD3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56DF4"/>
    <w:rPr>
      <w:rFonts w:ascii="Arial" w:hAnsi="Arial" w:cs="Arial"/>
      <w:sz w:val="24"/>
      <w:lang w:val="en-GB" w:eastAsia="en-US"/>
    </w:rPr>
  </w:style>
  <w:style w:type="paragraph" w:styleId="berschrift1">
    <w:name w:val="heading 1"/>
    <w:basedOn w:val="Standard"/>
    <w:next w:val="Standard"/>
    <w:link w:val="berschrift1Zchn"/>
    <w:qFormat/>
    <w:rsid w:val="00270C42"/>
    <w:pPr>
      <w:keepNext/>
      <w:spacing w:after="240"/>
      <w:jc w:val="center"/>
      <w:outlineLvl w:val="0"/>
    </w:pPr>
    <w:rPr>
      <w:b/>
      <w:caps/>
      <w:kern w:val="28"/>
      <w:sz w:val="32"/>
    </w:rPr>
  </w:style>
  <w:style w:type="paragraph" w:styleId="berschrift2">
    <w:name w:val="heading 2"/>
    <w:basedOn w:val="Standard"/>
    <w:next w:val="Standard"/>
    <w:link w:val="berschrift2Zchn"/>
    <w:qFormat/>
    <w:rsid w:val="00D00CF6"/>
    <w:pPr>
      <w:keepNext/>
      <w:spacing w:before="360" w:after="120"/>
      <w:jc w:val="center"/>
      <w:outlineLvl w:val="1"/>
    </w:pPr>
    <w:rPr>
      <w:b/>
      <w:smallCaps/>
      <w:sz w:val="30"/>
    </w:rPr>
  </w:style>
  <w:style w:type="paragraph" w:styleId="berschrift3">
    <w:name w:val="heading 3"/>
    <w:basedOn w:val="Standard"/>
    <w:next w:val="Standard"/>
    <w:link w:val="berschrift3Zchn"/>
    <w:qFormat/>
    <w:rsid w:val="00274C5E"/>
    <w:pPr>
      <w:keepNext/>
      <w:spacing w:before="360" w:after="120"/>
      <w:outlineLvl w:val="2"/>
    </w:pPr>
    <w:rPr>
      <w:b/>
      <w:sz w:val="28"/>
    </w:rPr>
  </w:style>
  <w:style w:type="paragraph" w:styleId="berschrift4">
    <w:name w:val="heading 4"/>
    <w:basedOn w:val="Standard"/>
    <w:next w:val="Standard"/>
    <w:link w:val="berschrift4Zchn"/>
    <w:autoRedefine/>
    <w:qFormat/>
    <w:rsid w:val="00056DF4"/>
    <w:pPr>
      <w:keepNext/>
      <w:spacing w:before="360" w:after="120"/>
      <w:outlineLvl w:val="3"/>
    </w:pPr>
    <w:rPr>
      <w:sz w:val="28"/>
      <w:u w:val="single"/>
    </w:rPr>
  </w:style>
  <w:style w:type="paragraph" w:styleId="berschrift5">
    <w:name w:val="heading 5"/>
    <w:basedOn w:val="Standard"/>
    <w:next w:val="Standard"/>
    <w:link w:val="berschrift5Zchn"/>
    <w:qFormat/>
    <w:rsid w:val="00632720"/>
    <w:pPr>
      <w:keepNext/>
      <w:spacing w:before="240" w:after="120"/>
      <w:outlineLvl w:val="4"/>
    </w:pPr>
    <w:rPr>
      <w:rFonts w:eastAsia="Arial"/>
      <w:b/>
      <w:sz w:val="22"/>
    </w:rPr>
  </w:style>
  <w:style w:type="paragraph" w:styleId="berschrift6">
    <w:name w:val="heading 6"/>
    <w:basedOn w:val="Standard"/>
    <w:next w:val="Standard"/>
    <w:link w:val="berschrift6Zchn"/>
    <w:qFormat/>
    <w:rsid w:val="00270C42"/>
    <w:pPr>
      <w:outlineLvl w:val="5"/>
    </w:pPr>
    <w:rPr>
      <w:rFonts w:ascii="Bembo" w:hAnsi="Bembo"/>
    </w:rPr>
  </w:style>
  <w:style w:type="paragraph" w:styleId="berschrift7">
    <w:name w:val="heading 7"/>
    <w:basedOn w:val="Standard"/>
    <w:next w:val="Standard"/>
    <w:link w:val="berschrift7Zchn"/>
    <w:qFormat/>
    <w:rsid w:val="00270C42"/>
    <w:pPr>
      <w:outlineLvl w:val="6"/>
    </w:pPr>
    <w:rPr>
      <w:rFonts w:ascii="Bembo" w:hAnsi="Bembo"/>
    </w:rPr>
  </w:style>
  <w:style w:type="paragraph" w:styleId="berschrift8">
    <w:name w:val="heading 8"/>
    <w:basedOn w:val="Standard"/>
    <w:next w:val="Standard"/>
    <w:link w:val="berschrift8Zchn"/>
    <w:qFormat/>
    <w:rsid w:val="00270C42"/>
    <w:pPr>
      <w:outlineLvl w:val="7"/>
    </w:pPr>
    <w:rPr>
      <w:rFonts w:ascii="Bembo" w:hAnsi="Bembo"/>
    </w:rPr>
  </w:style>
  <w:style w:type="paragraph" w:styleId="berschrift9">
    <w:name w:val="heading 9"/>
    <w:basedOn w:val="Standard"/>
    <w:next w:val="Standard"/>
    <w:link w:val="berschrift9Zchn"/>
    <w:qFormat/>
    <w:rsid w:val="00270C42"/>
    <w:pPr>
      <w:outlineLvl w:val="8"/>
    </w:pPr>
    <w:rPr>
      <w:rFonts w:ascii="Bembo" w:hAnsi="Bemb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Index1">
    <w:name w:val="index 1"/>
    <w:basedOn w:val="Standard"/>
    <w:next w:val="Standard"/>
    <w:semiHidden/>
    <w:rsid w:val="005905B3"/>
    <w:pPr>
      <w:tabs>
        <w:tab w:val="right" w:pos="9072"/>
      </w:tabs>
      <w:ind w:left="284" w:hanging="284"/>
    </w:pPr>
    <w:rPr>
      <w:rFonts w:ascii="Bembo" w:hAnsi="Bembo"/>
    </w:rPr>
  </w:style>
  <w:style w:type="paragraph" w:styleId="Indexberschrift">
    <w:name w:val="index heading"/>
    <w:basedOn w:val="Standard"/>
    <w:next w:val="Index1"/>
    <w:semiHidden/>
    <w:rsid w:val="005905B3"/>
    <w:rPr>
      <w:rFonts w:ascii="Frutiger 55 Roman" w:hAnsi="Frutiger 55 Roman"/>
      <w:b/>
      <w:sz w:val="28"/>
    </w:rPr>
  </w:style>
  <w:style w:type="paragraph" w:styleId="Aufzhlungszeichen">
    <w:name w:val="List Bullet"/>
    <w:basedOn w:val="Standard"/>
    <w:semiHidden/>
    <w:rsid w:val="005905B3"/>
    <w:pPr>
      <w:ind w:left="283" w:hanging="283"/>
    </w:pPr>
    <w:rPr>
      <w:rFonts w:ascii="Bembo" w:hAnsi="Bembo"/>
    </w:rPr>
  </w:style>
  <w:style w:type="paragraph" w:styleId="Aufzhlungszeichen2">
    <w:name w:val="List Bullet 2"/>
    <w:basedOn w:val="Standard"/>
    <w:semiHidden/>
    <w:rsid w:val="005905B3"/>
    <w:pPr>
      <w:ind w:left="566" w:hanging="283"/>
    </w:pPr>
    <w:rPr>
      <w:rFonts w:ascii="Bembo" w:hAnsi="Bembo"/>
    </w:rPr>
  </w:style>
  <w:style w:type="paragraph" w:styleId="Aufzhlungszeichen3">
    <w:name w:val="List Bullet 3"/>
    <w:basedOn w:val="Standard"/>
    <w:semiHidden/>
    <w:rsid w:val="005905B3"/>
    <w:pPr>
      <w:ind w:left="849" w:hanging="283"/>
    </w:pPr>
    <w:rPr>
      <w:rFonts w:ascii="Bembo" w:hAnsi="Bembo"/>
    </w:rPr>
  </w:style>
  <w:style w:type="paragraph" w:styleId="Aufzhlungszeichen4">
    <w:name w:val="List Bullet 4"/>
    <w:basedOn w:val="Standard"/>
    <w:semiHidden/>
    <w:rsid w:val="005905B3"/>
    <w:pPr>
      <w:ind w:left="1132" w:hanging="283"/>
    </w:pPr>
    <w:rPr>
      <w:rFonts w:ascii="Bembo" w:hAnsi="Bembo"/>
    </w:rPr>
  </w:style>
  <w:style w:type="paragraph" w:styleId="Aufzhlungszeichen5">
    <w:name w:val="List Bullet 5"/>
    <w:basedOn w:val="Standard"/>
    <w:semiHidden/>
    <w:rsid w:val="005905B3"/>
    <w:pPr>
      <w:ind w:left="1415" w:hanging="283"/>
    </w:pPr>
    <w:rPr>
      <w:rFonts w:ascii="Bembo" w:hAnsi="Bembo"/>
    </w:rPr>
  </w:style>
  <w:style w:type="paragraph" w:styleId="Listennummer">
    <w:name w:val="List Number"/>
    <w:basedOn w:val="Standard"/>
    <w:semiHidden/>
    <w:rsid w:val="005905B3"/>
    <w:rPr>
      <w:rFonts w:ascii="Bembo" w:hAnsi="Bembo"/>
    </w:rPr>
  </w:style>
  <w:style w:type="paragraph" w:styleId="Listennummer2">
    <w:name w:val="List Number 2"/>
    <w:basedOn w:val="Standard"/>
    <w:semiHidden/>
    <w:rsid w:val="005905B3"/>
    <w:pPr>
      <w:ind w:left="567"/>
    </w:pPr>
    <w:rPr>
      <w:rFonts w:ascii="Bembo" w:hAnsi="Bembo"/>
    </w:rPr>
  </w:style>
  <w:style w:type="paragraph" w:styleId="Listennummer3">
    <w:name w:val="List Number 3"/>
    <w:basedOn w:val="Standard"/>
    <w:semiHidden/>
    <w:rsid w:val="005905B3"/>
    <w:pPr>
      <w:ind w:left="1134"/>
    </w:pPr>
    <w:rPr>
      <w:rFonts w:ascii="Bembo" w:hAnsi="Bembo"/>
    </w:rPr>
  </w:style>
  <w:style w:type="paragraph" w:styleId="Listennummer4">
    <w:name w:val="List Number 4"/>
    <w:basedOn w:val="Standard"/>
    <w:semiHidden/>
    <w:rsid w:val="005905B3"/>
    <w:pPr>
      <w:ind w:left="1701"/>
    </w:pPr>
    <w:rPr>
      <w:rFonts w:ascii="Bembo" w:hAnsi="Bembo"/>
    </w:rPr>
  </w:style>
  <w:style w:type="paragraph" w:styleId="Listennummer5">
    <w:name w:val="List Number 5"/>
    <w:basedOn w:val="Standard"/>
    <w:semiHidden/>
    <w:rsid w:val="005905B3"/>
    <w:pPr>
      <w:ind w:left="2268"/>
    </w:pPr>
    <w:rPr>
      <w:rFonts w:ascii="Bembo" w:hAnsi="Bembo"/>
    </w:rPr>
  </w:style>
  <w:style w:type="paragraph" w:styleId="Makrotext">
    <w:name w:val="macro"/>
    <w:semiHidden/>
    <w:rsid w:val="005905B3"/>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GB" w:eastAsia="en-US"/>
    </w:rPr>
  </w:style>
  <w:style w:type="paragraph" w:styleId="Nachrichtenkopf">
    <w:name w:val="Message Header"/>
    <w:basedOn w:val="Standard"/>
    <w:semiHidden/>
    <w:rsid w:val="005905B3"/>
    <w:pPr>
      <w:ind w:left="1134" w:hanging="1134"/>
    </w:pPr>
    <w:rPr>
      <w:rFonts w:ascii="Frutiger 55 Roman" w:hAnsi="Frutiger 55 Roman"/>
    </w:rPr>
  </w:style>
  <w:style w:type="paragraph" w:styleId="Standardeinzug">
    <w:name w:val="Normal Indent"/>
    <w:basedOn w:val="Standard"/>
    <w:semiHidden/>
    <w:rsid w:val="005905B3"/>
    <w:pPr>
      <w:ind w:left="851"/>
    </w:pPr>
  </w:style>
  <w:style w:type="paragraph" w:styleId="Untertitel">
    <w:name w:val="Subtitle"/>
    <w:basedOn w:val="Standard"/>
    <w:link w:val="UntertitelZchn"/>
    <w:qFormat/>
    <w:rsid w:val="00270C42"/>
    <w:rPr>
      <w:rFonts w:ascii="Frutiger 55 Roman" w:hAnsi="Frutiger 55 Roman"/>
    </w:rPr>
  </w:style>
  <w:style w:type="paragraph" w:styleId="Abbildungsverzeichnis">
    <w:name w:val="table of figures"/>
    <w:basedOn w:val="Standard"/>
    <w:next w:val="Standard"/>
    <w:semiHidden/>
    <w:rsid w:val="005905B3"/>
    <w:pPr>
      <w:tabs>
        <w:tab w:val="right" w:pos="9072"/>
      </w:tabs>
      <w:ind w:left="567" w:hanging="567"/>
    </w:pPr>
  </w:style>
  <w:style w:type="paragraph" w:styleId="Titel">
    <w:name w:val="Title"/>
    <w:basedOn w:val="Standard"/>
    <w:link w:val="TitelZchn"/>
    <w:qFormat/>
    <w:rsid w:val="00270C42"/>
    <w:rPr>
      <w:rFonts w:ascii="Frutiger 55 Roman" w:hAnsi="Frutiger 55 Roman"/>
      <w:b/>
      <w:kern w:val="28"/>
      <w:sz w:val="28"/>
    </w:rPr>
  </w:style>
  <w:style w:type="paragraph" w:styleId="RGV-berschrift">
    <w:name w:val="toa heading"/>
    <w:basedOn w:val="Standard"/>
    <w:next w:val="Standard"/>
    <w:semiHidden/>
    <w:rsid w:val="005905B3"/>
    <w:rPr>
      <w:rFonts w:ascii="Frutiger 55 Roman" w:hAnsi="Frutiger 55 Roman"/>
      <w:b/>
      <w:sz w:val="28"/>
    </w:rPr>
  </w:style>
  <w:style w:type="paragraph" w:styleId="Verzeichnis1">
    <w:name w:val="toc 1"/>
    <w:basedOn w:val="Standard"/>
    <w:next w:val="Standard"/>
    <w:uiPriority w:val="39"/>
    <w:rsid w:val="00643E97"/>
    <w:pPr>
      <w:spacing w:before="240"/>
    </w:pPr>
    <w:rPr>
      <w:rFonts w:cs="Times New Roman"/>
      <w:b/>
      <w:bCs/>
      <w:caps/>
      <w:sz w:val="22"/>
      <w:szCs w:val="28"/>
    </w:rPr>
  </w:style>
  <w:style w:type="paragraph" w:styleId="Verzeichnis2">
    <w:name w:val="toc 2"/>
    <w:basedOn w:val="Standard"/>
    <w:next w:val="Standard"/>
    <w:uiPriority w:val="39"/>
    <w:rsid w:val="00643E97"/>
    <w:pPr>
      <w:spacing w:before="120"/>
    </w:pPr>
    <w:rPr>
      <w:rFonts w:cs="Times New Roman"/>
      <w:b/>
      <w:bCs/>
      <w:smallCaps/>
      <w:sz w:val="22"/>
      <w:szCs w:val="24"/>
    </w:rPr>
  </w:style>
  <w:style w:type="paragraph" w:styleId="Verzeichnis3">
    <w:name w:val="toc 3"/>
    <w:basedOn w:val="Standard"/>
    <w:next w:val="Standard"/>
    <w:uiPriority w:val="39"/>
    <w:rsid w:val="0001649B"/>
    <w:pPr>
      <w:ind w:left="240"/>
    </w:pPr>
    <w:rPr>
      <w:rFonts w:cs="Times New Roman"/>
      <w:sz w:val="22"/>
      <w:szCs w:val="24"/>
    </w:rPr>
  </w:style>
  <w:style w:type="paragraph" w:styleId="Verzeichnis4">
    <w:name w:val="toc 4"/>
    <w:basedOn w:val="Standard"/>
    <w:next w:val="Standard"/>
    <w:semiHidden/>
    <w:rsid w:val="005905B3"/>
    <w:pPr>
      <w:ind w:left="480"/>
    </w:pPr>
    <w:rPr>
      <w:rFonts w:ascii="Times New Roman" w:hAnsi="Times New Roman" w:cs="Times New Roman"/>
      <w:szCs w:val="24"/>
    </w:rPr>
  </w:style>
  <w:style w:type="paragraph" w:styleId="Verzeichnis5">
    <w:name w:val="toc 5"/>
    <w:basedOn w:val="Standard"/>
    <w:next w:val="Standard"/>
    <w:semiHidden/>
    <w:rsid w:val="005905B3"/>
    <w:pPr>
      <w:ind w:left="720"/>
    </w:pPr>
    <w:rPr>
      <w:rFonts w:ascii="Times New Roman" w:hAnsi="Times New Roman" w:cs="Times New Roman"/>
      <w:szCs w:val="24"/>
    </w:rPr>
  </w:style>
  <w:style w:type="paragraph" w:styleId="Verzeichnis6">
    <w:name w:val="toc 6"/>
    <w:basedOn w:val="Standard"/>
    <w:next w:val="Standard"/>
    <w:semiHidden/>
    <w:rsid w:val="005905B3"/>
    <w:pPr>
      <w:ind w:left="960"/>
    </w:pPr>
    <w:rPr>
      <w:rFonts w:ascii="Times New Roman" w:hAnsi="Times New Roman" w:cs="Times New Roman"/>
      <w:szCs w:val="24"/>
    </w:rPr>
  </w:style>
  <w:style w:type="paragraph" w:styleId="Verzeichnis7">
    <w:name w:val="toc 7"/>
    <w:basedOn w:val="Standard"/>
    <w:next w:val="Standard"/>
    <w:semiHidden/>
    <w:rsid w:val="005905B3"/>
    <w:pPr>
      <w:ind w:left="1200"/>
    </w:pPr>
    <w:rPr>
      <w:rFonts w:ascii="Times New Roman" w:hAnsi="Times New Roman" w:cs="Times New Roman"/>
      <w:szCs w:val="24"/>
    </w:rPr>
  </w:style>
  <w:style w:type="paragraph" w:styleId="Verzeichnis8">
    <w:name w:val="toc 8"/>
    <w:basedOn w:val="Standard"/>
    <w:next w:val="Standard"/>
    <w:semiHidden/>
    <w:rsid w:val="005905B3"/>
    <w:pPr>
      <w:ind w:left="1440"/>
    </w:pPr>
    <w:rPr>
      <w:rFonts w:ascii="Times New Roman" w:hAnsi="Times New Roman" w:cs="Times New Roman"/>
      <w:szCs w:val="24"/>
    </w:rPr>
  </w:style>
  <w:style w:type="paragraph" w:styleId="Verzeichnis9">
    <w:name w:val="toc 9"/>
    <w:basedOn w:val="Standard"/>
    <w:next w:val="Standard"/>
    <w:semiHidden/>
    <w:rsid w:val="005905B3"/>
    <w:pPr>
      <w:ind w:left="1680"/>
    </w:pPr>
    <w:rPr>
      <w:rFonts w:ascii="Times New Roman" w:hAnsi="Times New Roman" w:cs="Times New Roman"/>
      <w:szCs w:val="24"/>
    </w:rPr>
  </w:style>
  <w:style w:type="character" w:styleId="Hyperlink">
    <w:name w:val="Hyperlink"/>
    <w:uiPriority w:val="99"/>
    <w:rsid w:val="005905B3"/>
    <w:rPr>
      <w:color w:val="0000FF"/>
      <w:u w:val="single"/>
    </w:rPr>
  </w:style>
  <w:style w:type="paragraph" w:customStyle="1" w:styleId="Fuzeile1">
    <w:name w:val="Fußzeile1"/>
    <w:basedOn w:val="Standard"/>
    <w:rsid w:val="003E722A"/>
    <w:pPr>
      <w:spacing w:after="480"/>
      <w:jc w:val="both"/>
    </w:pPr>
    <w:rPr>
      <w:sz w:val="20"/>
      <w:szCs w:val="22"/>
      <w:lang w:val="de-DE" w:eastAsia="sv-SE"/>
    </w:rPr>
  </w:style>
  <w:style w:type="character" w:styleId="Funotenzeichen">
    <w:name w:val="footnote reference"/>
    <w:semiHidden/>
    <w:rsid w:val="005905B3"/>
    <w:rPr>
      <w:vertAlign w:val="superscript"/>
    </w:rPr>
  </w:style>
  <w:style w:type="paragraph" w:customStyle="1" w:styleId="RegHead1">
    <w:name w:val="RegHead1"/>
    <w:basedOn w:val="Standard"/>
    <w:next w:val="RegHead2"/>
    <w:rsid w:val="005905B3"/>
    <w:pPr>
      <w:keepNext/>
      <w:numPr>
        <w:numId w:val="1"/>
      </w:numPr>
      <w:spacing w:before="180"/>
      <w:jc w:val="center"/>
    </w:pPr>
    <w:rPr>
      <w:rFonts w:ascii="Times New Roman" w:hAnsi="Times New Roman" w:cs="Times New Roman"/>
      <w:b/>
      <w:sz w:val="28"/>
      <w:lang w:eastAsia="de-DE"/>
    </w:rPr>
  </w:style>
  <w:style w:type="paragraph" w:customStyle="1" w:styleId="RegHead2">
    <w:name w:val="RegHead2"/>
    <w:basedOn w:val="Standard"/>
    <w:next w:val="RegHead3"/>
    <w:rsid w:val="005905B3"/>
    <w:pPr>
      <w:keepNext/>
      <w:numPr>
        <w:ilvl w:val="1"/>
        <w:numId w:val="1"/>
      </w:numPr>
      <w:spacing w:before="180"/>
      <w:jc w:val="center"/>
    </w:pPr>
    <w:rPr>
      <w:rFonts w:ascii="Times New Roman" w:hAnsi="Times New Roman" w:cs="Times New Roman"/>
      <w:b/>
      <w:sz w:val="22"/>
      <w:lang w:eastAsia="de-DE"/>
    </w:rPr>
  </w:style>
  <w:style w:type="paragraph" w:customStyle="1" w:styleId="RegHead3">
    <w:name w:val="RegHead3"/>
    <w:basedOn w:val="Standard"/>
    <w:next w:val="RegPara"/>
    <w:rsid w:val="005905B3"/>
    <w:pPr>
      <w:numPr>
        <w:ilvl w:val="2"/>
        <w:numId w:val="1"/>
      </w:numPr>
      <w:spacing w:before="180"/>
      <w:jc w:val="center"/>
    </w:pPr>
    <w:rPr>
      <w:rFonts w:ascii="Times New Roman" w:hAnsi="Times New Roman" w:cs="Times New Roman"/>
      <w:sz w:val="22"/>
      <w:u w:val="single"/>
      <w:lang w:eastAsia="de-DE"/>
    </w:rPr>
  </w:style>
  <w:style w:type="paragraph" w:customStyle="1" w:styleId="RegPara">
    <w:name w:val="RegPara"/>
    <w:basedOn w:val="Standard"/>
    <w:link w:val="RegParaChar"/>
    <w:qFormat/>
    <w:rsid w:val="00632720"/>
    <w:pPr>
      <w:numPr>
        <w:ilvl w:val="3"/>
        <w:numId w:val="1"/>
      </w:numPr>
      <w:spacing w:before="60" w:after="120" w:line="276" w:lineRule="auto"/>
      <w:jc w:val="both"/>
    </w:pPr>
    <w:rPr>
      <w:sz w:val="22"/>
      <w:lang w:eastAsia="de-DE"/>
    </w:rPr>
  </w:style>
  <w:style w:type="paragraph" w:styleId="Textkrper">
    <w:name w:val="Body Text"/>
    <w:basedOn w:val="Standard"/>
    <w:link w:val="TextkrperZchn"/>
    <w:semiHidden/>
    <w:rsid w:val="005905B3"/>
    <w:pPr>
      <w:pBdr>
        <w:top w:val="single" w:sz="4" w:space="1" w:color="auto"/>
        <w:left w:val="single" w:sz="4" w:space="4" w:color="auto"/>
        <w:bottom w:val="single" w:sz="4" w:space="1" w:color="auto"/>
        <w:right w:val="single" w:sz="4" w:space="4" w:color="auto"/>
      </w:pBdr>
      <w:shd w:val="clear" w:color="auto" w:fill="CCFFCC"/>
    </w:pPr>
    <w:rPr>
      <w:rFonts w:eastAsia="MS Mincho"/>
      <w:i/>
      <w:iCs/>
      <w:lang w:eastAsia="ja-JP"/>
    </w:rPr>
  </w:style>
  <w:style w:type="character" w:styleId="Kommentarzeichen">
    <w:name w:val="annotation reference"/>
    <w:semiHidden/>
    <w:rsid w:val="005905B3"/>
    <w:rPr>
      <w:sz w:val="16"/>
      <w:szCs w:val="16"/>
    </w:rPr>
  </w:style>
  <w:style w:type="paragraph" w:customStyle="1" w:styleId="Annex">
    <w:name w:val="Annex"/>
    <w:basedOn w:val="berschrift1"/>
    <w:rsid w:val="005905B3"/>
    <w:pPr>
      <w:numPr>
        <w:numId w:val="2"/>
      </w:numPr>
    </w:pPr>
  </w:style>
  <w:style w:type="paragraph" w:styleId="Kommentartext">
    <w:name w:val="annotation text"/>
    <w:basedOn w:val="Standard"/>
    <w:link w:val="KommentartextZchn"/>
    <w:semiHidden/>
    <w:rsid w:val="005905B3"/>
    <w:rPr>
      <w:sz w:val="20"/>
    </w:rPr>
  </w:style>
  <w:style w:type="paragraph" w:styleId="Funotentext">
    <w:name w:val="footnote text"/>
    <w:aliases w:val="footer"/>
    <w:basedOn w:val="Standard"/>
    <w:semiHidden/>
    <w:rsid w:val="004770FD"/>
    <w:pPr>
      <w:ind w:left="113" w:hanging="113"/>
    </w:pPr>
    <w:rPr>
      <w:rFonts w:cs="Times New Roman"/>
      <w:sz w:val="16"/>
      <w:lang w:eastAsia="de-DE"/>
    </w:rPr>
  </w:style>
  <w:style w:type="paragraph" w:styleId="Textkrper2">
    <w:name w:val="Body Text 2"/>
    <w:basedOn w:val="Standard"/>
    <w:semiHidden/>
    <w:rsid w:val="005905B3"/>
    <w:rPr>
      <w:i/>
      <w:iCs/>
      <w:color w:val="808080"/>
    </w:rPr>
  </w:style>
  <w:style w:type="paragraph" w:styleId="Textkrper3">
    <w:name w:val="Body Text 3"/>
    <w:basedOn w:val="Standard"/>
    <w:semiHidden/>
    <w:rsid w:val="005905B3"/>
    <w:rPr>
      <w:i/>
      <w:color w:val="808080"/>
      <w:sz w:val="22"/>
    </w:rPr>
  </w:style>
  <w:style w:type="character" w:styleId="BesuchterLink">
    <w:name w:val="FollowedHyperlink"/>
    <w:semiHidden/>
    <w:rsid w:val="005905B3"/>
    <w:rPr>
      <w:color w:val="800080"/>
      <w:u w:val="single"/>
    </w:rPr>
  </w:style>
  <w:style w:type="paragraph" w:customStyle="1" w:styleId="BalloonText1">
    <w:name w:val="Balloon Text1"/>
    <w:basedOn w:val="Standard"/>
    <w:semiHidden/>
    <w:rsid w:val="005905B3"/>
    <w:rPr>
      <w:rFonts w:ascii="Tahoma" w:hAnsi="Tahoma" w:cs="Tahoma"/>
      <w:sz w:val="16"/>
      <w:szCs w:val="16"/>
    </w:rPr>
  </w:style>
  <w:style w:type="paragraph" w:customStyle="1" w:styleId="CommentSubject1">
    <w:name w:val="Comment Subject1"/>
    <w:basedOn w:val="Kommentartext"/>
    <w:next w:val="Kommentartext"/>
    <w:semiHidden/>
    <w:rsid w:val="005905B3"/>
    <w:rPr>
      <w:b/>
      <w:bCs/>
    </w:rPr>
  </w:style>
  <w:style w:type="paragraph" w:styleId="berarbeitung">
    <w:name w:val="Revision"/>
    <w:hidden/>
    <w:semiHidden/>
    <w:rsid w:val="005905B3"/>
    <w:rPr>
      <w:rFonts w:ascii="Arial" w:hAnsi="Arial" w:cs="Arial"/>
      <w:sz w:val="24"/>
      <w:lang w:val="en-GB" w:eastAsia="en-US"/>
    </w:rPr>
  </w:style>
  <w:style w:type="paragraph" w:styleId="Dokumentstruktur">
    <w:name w:val="Document Map"/>
    <w:basedOn w:val="Standard"/>
    <w:semiHidden/>
    <w:unhideWhenUsed/>
    <w:rsid w:val="005905B3"/>
    <w:rPr>
      <w:rFonts w:ascii="Tahoma" w:hAnsi="Tahoma" w:cs="Tahoma"/>
      <w:sz w:val="16"/>
      <w:szCs w:val="16"/>
    </w:rPr>
  </w:style>
  <w:style w:type="character" w:customStyle="1" w:styleId="DocumentMapChar">
    <w:name w:val="Document Map Char"/>
    <w:semiHidden/>
    <w:rsid w:val="005905B3"/>
    <w:rPr>
      <w:rFonts w:ascii="Tahoma" w:hAnsi="Tahoma" w:cs="Tahoma"/>
      <w:sz w:val="16"/>
      <w:szCs w:val="16"/>
      <w:lang w:val="en-GB" w:eastAsia="en-US"/>
    </w:rPr>
  </w:style>
  <w:style w:type="paragraph" w:styleId="Kopfzeile">
    <w:name w:val="header"/>
    <w:basedOn w:val="Standard"/>
    <w:unhideWhenUsed/>
    <w:rsid w:val="005905B3"/>
    <w:pPr>
      <w:tabs>
        <w:tab w:val="center" w:pos="4536"/>
        <w:tab w:val="right" w:pos="9072"/>
      </w:tabs>
    </w:pPr>
  </w:style>
  <w:style w:type="character" w:customStyle="1" w:styleId="HeaderChar">
    <w:name w:val="Header Char"/>
    <w:semiHidden/>
    <w:rsid w:val="005905B3"/>
    <w:rPr>
      <w:rFonts w:ascii="Arial" w:hAnsi="Arial" w:cs="Arial"/>
      <w:sz w:val="24"/>
      <w:lang w:val="en-GB" w:eastAsia="en-US"/>
    </w:rPr>
  </w:style>
  <w:style w:type="paragraph" w:styleId="Fuzeile">
    <w:name w:val="footer"/>
    <w:basedOn w:val="Fuzeile1"/>
    <w:unhideWhenUsed/>
    <w:rsid w:val="003A47B5"/>
  </w:style>
  <w:style w:type="character" w:customStyle="1" w:styleId="FooterChar">
    <w:name w:val="Footer Char"/>
    <w:rsid w:val="005905B3"/>
    <w:rPr>
      <w:rFonts w:ascii="Arial" w:hAnsi="Arial" w:cs="Arial"/>
      <w:sz w:val="24"/>
      <w:lang w:val="en-GB" w:eastAsia="en-US"/>
    </w:rPr>
  </w:style>
  <w:style w:type="character" w:customStyle="1" w:styleId="berschrift1Zchn">
    <w:name w:val="Überschrift 1 Zchn"/>
    <w:link w:val="berschrift1"/>
    <w:rsid w:val="00270C42"/>
    <w:rPr>
      <w:rFonts w:ascii="Arial" w:hAnsi="Arial" w:cs="Arial"/>
      <w:b/>
      <w:caps/>
      <w:kern w:val="28"/>
      <w:sz w:val="32"/>
      <w:lang w:val="en-GB" w:eastAsia="en-US"/>
    </w:rPr>
  </w:style>
  <w:style w:type="character" w:customStyle="1" w:styleId="Heading1Char">
    <w:name w:val="Heading 1 Char"/>
    <w:rsid w:val="005905B3"/>
    <w:rPr>
      <w:rFonts w:ascii="Arial" w:hAnsi="Arial" w:cs="Arial"/>
      <w:b/>
      <w:caps/>
      <w:kern w:val="28"/>
      <w:sz w:val="32"/>
      <w:lang w:val="en-GB" w:eastAsia="en-US"/>
    </w:rPr>
  </w:style>
  <w:style w:type="character" w:customStyle="1" w:styleId="Heading2Char">
    <w:name w:val="Heading 2 Char"/>
    <w:rsid w:val="005905B3"/>
    <w:rPr>
      <w:rFonts w:ascii="Arial" w:hAnsi="Arial" w:cs="Arial"/>
      <w:b/>
      <w:sz w:val="28"/>
      <w:lang w:val="en-GB" w:eastAsia="en-US"/>
    </w:rPr>
  </w:style>
  <w:style w:type="character" w:customStyle="1" w:styleId="Heading3Char">
    <w:name w:val="Heading 3 Char"/>
    <w:rsid w:val="005905B3"/>
    <w:rPr>
      <w:rFonts w:ascii="Arial" w:hAnsi="Arial" w:cs="Arial"/>
      <w:b/>
      <w:i/>
      <w:sz w:val="24"/>
      <w:lang w:val="en-GB" w:eastAsia="en-US"/>
    </w:rPr>
  </w:style>
  <w:style w:type="character" w:customStyle="1" w:styleId="Heading4Char">
    <w:name w:val="Heading 4 Char"/>
    <w:rsid w:val="005905B3"/>
    <w:rPr>
      <w:rFonts w:ascii="Arial" w:hAnsi="Arial" w:cs="Arial"/>
      <w:i/>
      <w:sz w:val="24"/>
      <w:u w:val="single"/>
      <w:lang w:val="en-GB" w:eastAsia="en-US"/>
    </w:rPr>
  </w:style>
  <w:style w:type="character" w:customStyle="1" w:styleId="Heading5Char">
    <w:name w:val="Heading 5 Char"/>
    <w:rsid w:val="005905B3"/>
    <w:rPr>
      <w:rFonts w:ascii="Bembo" w:hAnsi="Bembo" w:cs="Arial"/>
      <w:b/>
      <w:sz w:val="24"/>
      <w:lang w:val="en-GB" w:eastAsia="en-US"/>
    </w:rPr>
  </w:style>
  <w:style w:type="character" w:customStyle="1" w:styleId="Heading6Char">
    <w:name w:val="Heading 6 Char"/>
    <w:rsid w:val="005905B3"/>
    <w:rPr>
      <w:rFonts w:ascii="Bembo" w:hAnsi="Bembo" w:cs="Arial"/>
      <w:sz w:val="24"/>
      <w:lang w:val="en-GB" w:eastAsia="en-US"/>
    </w:rPr>
  </w:style>
  <w:style w:type="character" w:customStyle="1" w:styleId="Heading7Char">
    <w:name w:val="Heading 7 Char"/>
    <w:rsid w:val="005905B3"/>
    <w:rPr>
      <w:rFonts w:ascii="Bembo" w:hAnsi="Bembo" w:cs="Arial"/>
      <w:sz w:val="24"/>
      <w:lang w:val="en-GB" w:eastAsia="en-US"/>
    </w:rPr>
  </w:style>
  <w:style w:type="character" w:customStyle="1" w:styleId="Heading8Char">
    <w:name w:val="Heading 8 Char"/>
    <w:rsid w:val="005905B3"/>
    <w:rPr>
      <w:rFonts w:ascii="Bembo" w:hAnsi="Bembo" w:cs="Arial"/>
      <w:sz w:val="24"/>
      <w:lang w:val="en-GB" w:eastAsia="en-US"/>
    </w:rPr>
  </w:style>
  <w:style w:type="character" w:customStyle="1" w:styleId="Heading9Char">
    <w:name w:val="Heading 9 Char"/>
    <w:rsid w:val="005905B3"/>
    <w:rPr>
      <w:rFonts w:ascii="Bembo" w:hAnsi="Bembo" w:cs="Arial"/>
      <w:sz w:val="24"/>
      <w:lang w:val="en-GB" w:eastAsia="en-US"/>
    </w:rPr>
  </w:style>
  <w:style w:type="paragraph" w:styleId="Beschriftung">
    <w:name w:val="caption"/>
    <w:basedOn w:val="Standard"/>
    <w:uiPriority w:val="35"/>
    <w:qFormat/>
    <w:rsid w:val="00270C42"/>
    <w:rPr>
      <w:b/>
      <w:bCs/>
      <w:sz w:val="20"/>
    </w:rPr>
  </w:style>
  <w:style w:type="character" w:customStyle="1" w:styleId="TitleChar">
    <w:name w:val="Title Char"/>
    <w:rsid w:val="005905B3"/>
    <w:rPr>
      <w:rFonts w:ascii="Frutiger 55 Roman" w:hAnsi="Frutiger 55 Roman" w:cs="Arial"/>
      <w:b/>
      <w:kern w:val="28"/>
      <w:sz w:val="28"/>
      <w:lang w:val="en-GB" w:eastAsia="en-US"/>
    </w:rPr>
  </w:style>
  <w:style w:type="character" w:customStyle="1" w:styleId="SubtitleChar">
    <w:name w:val="Subtitle Char"/>
    <w:rsid w:val="005905B3"/>
    <w:rPr>
      <w:rFonts w:ascii="Frutiger 55 Roman" w:eastAsia="Times New Roman" w:hAnsi="Frutiger 55 Roman" w:cs="Arial"/>
      <w:sz w:val="24"/>
      <w:lang w:val="en-GB" w:eastAsia="en-US"/>
    </w:rPr>
  </w:style>
  <w:style w:type="character" w:styleId="Fett">
    <w:name w:val="Strong"/>
    <w:uiPriority w:val="22"/>
    <w:qFormat/>
    <w:rsid w:val="00270C42"/>
    <w:rPr>
      <w:b/>
      <w:bCs/>
    </w:rPr>
  </w:style>
  <w:style w:type="character" w:customStyle="1" w:styleId="berschrift2Zchn">
    <w:name w:val="Überschrift 2 Zchn"/>
    <w:link w:val="berschrift2"/>
    <w:rsid w:val="00D00CF6"/>
    <w:rPr>
      <w:rFonts w:ascii="Arial" w:hAnsi="Arial" w:cs="Arial"/>
      <w:b/>
      <w:smallCaps/>
      <w:sz w:val="30"/>
      <w:lang w:val="en-GB" w:eastAsia="en-US"/>
    </w:rPr>
  </w:style>
  <w:style w:type="character" w:customStyle="1" w:styleId="berschrift3Zchn">
    <w:name w:val="Überschrift 3 Zchn"/>
    <w:link w:val="berschrift3"/>
    <w:rsid w:val="00274C5E"/>
    <w:rPr>
      <w:rFonts w:ascii="Arial" w:hAnsi="Arial" w:cs="Arial"/>
      <w:b/>
      <w:sz w:val="28"/>
      <w:lang w:val="en-GB" w:eastAsia="en-US"/>
    </w:rPr>
  </w:style>
  <w:style w:type="character" w:customStyle="1" w:styleId="berschrift4Zchn">
    <w:name w:val="Überschrift 4 Zchn"/>
    <w:link w:val="berschrift4"/>
    <w:rsid w:val="00056DF4"/>
    <w:rPr>
      <w:rFonts w:ascii="Arial" w:hAnsi="Arial" w:cs="Arial"/>
      <w:sz w:val="28"/>
      <w:u w:val="single"/>
      <w:lang w:val="en-GB" w:eastAsia="en-US"/>
    </w:rPr>
  </w:style>
  <w:style w:type="character" w:customStyle="1" w:styleId="berschrift5Zchn">
    <w:name w:val="Überschrift 5 Zchn"/>
    <w:link w:val="berschrift5"/>
    <w:rsid w:val="00632720"/>
    <w:rPr>
      <w:rFonts w:ascii="Arial" w:eastAsia="Arial" w:hAnsi="Arial" w:cs="Arial"/>
      <w:b/>
      <w:sz w:val="22"/>
      <w:lang w:val="en-GB" w:eastAsia="en-US"/>
    </w:rPr>
  </w:style>
  <w:style w:type="character" w:customStyle="1" w:styleId="berschrift6Zchn">
    <w:name w:val="Überschrift 6 Zchn"/>
    <w:link w:val="berschrift6"/>
    <w:rsid w:val="00270C42"/>
    <w:rPr>
      <w:rFonts w:ascii="Bembo" w:hAnsi="Bembo" w:cs="Arial"/>
      <w:sz w:val="24"/>
      <w:lang w:val="en-GB" w:eastAsia="en-US"/>
    </w:rPr>
  </w:style>
  <w:style w:type="character" w:customStyle="1" w:styleId="berschrift7Zchn">
    <w:name w:val="Überschrift 7 Zchn"/>
    <w:link w:val="berschrift7"/>
    <w:rsid w:val="00270C42"/>
    <w:rPr>
      <w:rFonts w:ascii="Bembo" w:hAnsi="Bembo" w:cs="Arial"/>
      <w:sz w:val="24"/>
      <w:lang w:val="en-GB" w:eastAsia="en-US"/>
    </w:rPr>
  </w:style>
  <w:style w:type="character" w:customStyle="1" w:styleId="berschrift8Zchn">
    <w:name w:val="Überschrift 8 Zchn"/>
    <w:link w:val="berschrift8"/>
    <w:rsid w:val="00270C42"/>
    <w:rPr>
      <w:rFonts w:ascii="Bembo" w:hAnsi="Bembo" w:cs="Arial"/>
      <w:sz w:val="24"/>
      <w:lang w:val="en-GB" w:eastAsia="en-US"/>
    </w:rPr>
  </w:style>
  <w:style w:type="character" w:customStyle="1" w:styleId="berschrift9Zchn">
    <w:name w:val="Überschrift 9 Zchn"/>
    <w:link w:val="berschrift9"/>
    <w:rsid w:val="00270C42"/>
    <w:rPr>
      <w:rFonts w:ascii="Bembo" w:hAnsi="Bembo" w:cs="Arial"/>
      <w:sz w:val="24"/>
      <w:lang w:val="en-GB" w:eastAsia="en-US"/>
    </w:rPr>
  </w:style>
  <w:style w:type="character" w:customStyle="1" w:styleId="TitelZchn">
    <w:name w:val="Titel Zchn"/>
    <w:link w:val="Titel"/>
    <w:rsid w:val="00270C42"/>
    <w:rPr>
      <w:rFonts w:ascii="Frutiger 55 Roman" w:hAnsi="Frutiger 55 Roman" w:cs="Arial"/>
      <w:b/>
      <w:kern w:val="28"/>
      <w:sz w:val="28"/>
      <w:lang w:val="en-GB" w:eastAsia="en-US"/>
    </w:rPr>
  </w:style>
  <w:style w:type="character" w:customStyle="1" w:styleId="UntertitelZchn">
    <w:name w:val="Untertitel Zchn"/>
    <w:link w:val="Untertitel"/>
    <w:rsid w:val="00270C42"/>
    <w:rPr>
      <w:rFonts w:ascii="Frutiger 55 Roman" w:eastAsia="Times New Roman" w:hAnsi="Frutiger 55 Roman" w:cs="Arial"/>
      <w:sz w:val="24"/>
      <w:lang w:val="en-GB" w:eastAsia="en-US"/>
    </w:rPr>
  </w:style>
  <w:style w:type="paragraph" w:styleId="Sprechblasentext">
    <w:name w:val="Balloon Text"/>
    <w:basedOn w:val="Standard"/>
    <w:link w:val="SprechblasentextZchn"/>
    <w:uiPriority w:val="99"/>
    <w:semiHidden/>
    <w:unhideWhenUsed/>
    <w:rsid w:val="00BF7D4E"/>
    <w:rPr>
      <w:rFonts w:ascii="Tahoma" w:hAnsi="Tahoma" w:cs="Tahoma"/>
      <w:sz w:val="16"/>
      <w:szCs w:val="16"/>
    </w:rPr>
  </w:style>
  <w:style w:type="character" w:customStyle="1" w:styleId="SprechblasentextZchn">
    <w:name w:val="Sprechblasentext Zchn"/>
    <w:link w:val="Sprechblasentext"/>
    <w:uiPriority w:val="99"/>
    <w:semiHidden/>
    <w:rsid w:val="00BF7D4E"/>
    <w:rPr>
      <w:rFonts w:ascii="Tahoma" w:hAnsi="Tahoma" w:cs="Tahoma"/>
      <w:sz w:val="16"/>
      <w:szCs w:val="16"/>
      <w:lang w:val="en-GB" w:eastAsia="en-US"/>
    </w:rPr>
  </w:style>
  <w:style w:type="paragraph" w:customStyle="1" w:styleId="Default">
    <w:name w:val="Default"/>
    <w:rsid w:val="008060B1"/>
    <w:pPr>
      <w:autoSpaceDE w:val="0"/>
      <w:autoSpaceDN w:val="0"/>
      <w:adjustRightInd w:val="0"/>
    </w:pPr>
    <w:rPr>
      <w:color w:val="000000"/>
      <w:sz w:val="24"/>
      <w:szCs w:val="24"/>
      <w:lang w:val="en-GB" w:eastAsia="en-GB"/>
    </w:rPr>
  </w:style>
  <w:style w:type="paragraph" w:styleId="Kommentarthema">
    <w:name w:val="annotation subject"/>
    <w:basedOn w:val="Kommentartext"/>
    <w:next w:val="Kommentartext"/>
    <w:link w:val="KommentarthemaZchn"/>
    <w:uiPriority w:val="99"/>
    <w:semiHidden/>
    <w:unhideWhenUsed/>
    <w:rsid w:val="00B37E3F"/>
    <w:rPr>
      <w:b/>
      <w:bCs/>
    </w:rPr>
  </w:style>
  <w:style w:type="character" w:customStyle="1" w:styleId="KommentartextZchn">
    <w:name w:val="Kommentartext Zchn"/>
    <w:link w:val="Kommentartext"/>
    <w:semiHidden/>
    <w:rsid w:val="00B37E3F"/>
    <w:rPr>
      <w:rFonts w:ascii="Arial" w:hAnsi="Arial" w:cs="Arial"/>
      <w:lang w:val="en-GB" w:eastAsia="en-US"/>
    </w:rPr>
  </w:style>
  <w:style w:type="character" w:customStyle="1" w:styleId="KommentarthemaZchn">
    <w:name w:val="Kommentarthema Zchn"/>
    <w:basedOn w:val="KommentartextZchn"/>
    <w:link w:val="Kommentarthema"/>
    <w:rsid w:val="00B37E3F"/>
    <w:rPr>
      <w:rFonts w:ascii="Arial" w:hAnsi="Arial" w:cs="Arial"/>
      <w:lang w:val="en-GB" w:eastAsia="en-US"/>
    </w:rPr>
  </w:style>
  <w:style w:type="paragraph" w:customStyle="1" w:styleId="TableText">
    <w:name w:val="Table Text"/>
    <w:basedOn w:val="Standard"/>
    <w:qFormat/>
    <w:rsid w:val="00AC57A7"/>
    <w:rPr>
      <w:sz w:val="20"/>
    </w:rPr>
  </w:style>
  <w:style w:type="character" w:customStyle="1" w:styleId="TextkrperZchn">
    <w:name w:val="Textkörper Zchn"/>
    <w:basedOn w:val="Absatz-Standardschriftart"/>
    <w:link w:val="Textkrper"/>
    <w:semiHidden/>
    <w:rsid w:val="00AC57A7"/>
    <w:rPr>
      <w:rFonts w:ascii="Arial" w:eastAsia="MS Mincho" w:hAnsi="Arial" w:cs="Arial"/>
      <w:i/>
      <w:iCs/>
      <w:sz w:val="24"/>
      <w:shd w:val="clear" w:color="auto" w:fill="CCFFCC"/>
      <w:lang w:val="en-GB" w:eastAsia="ja-JP"/>
    </w:rPr>
  </w:style>
  <w:style w:type="paragraph" w:styleId="Listenabsatz">
    <w:name w:val="List Paragraph"/>
    <w:basedOn w:val="Standard"/>
    <w:uiPriority w:val="34"/>
    <w:qFormat/>
    <w:rsid w:val="00EA45F0"/>
    <w:pPr>
      <w:ind w:left="720"/>
      <w:contextualSpacing/>
    </w:p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itternetztabelle1hellAkzent1">
    <w:name w:val="Grid Table 1 Light Accent 1"/>
    <w:basedOn w:val="NormaleTabelle"/>
    <w:uiPriority w:val="46"/>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itternetztabelle1hell">
    <w:name w:val="Grid Table 1 Light"/>
    <w:basedOn w:val="NormaleTabelle"/>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RegParaChar">
    <w:name w:val="RegPara Char"/>
    <w:basedOn w:val="Absatz-Standardschriftart"/>
    <w:link w:val="RegPara"/>
    <w:locked/>
    <w:rsid w:val="00632720"/>
    <w:rPr>
      <w:rFonts w:ascii="Arial" w:hAnsi="Arial" w:cs="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4237">
      <w:bodyDiv w:val="1"/>
      <w:marLeft w:val="0"/>
      <w:marRight w:val="0"/>
      <w:marTop w:val="0"/>
      <w:marBottom w:val="0"/>
      <w:divBdr>
        <w:top w:val="none" w:sz="0" w:space="0" w:color="auto"/>
        <w:left w:val="none" w:sz="0" w:space="0" w:color="auto"/>
        <w:bottom w:val="none" w:sz="0" w:space="0" w:color="auto"/>
        <w:right w:val="none" w:sz="0" w:space="0" w:color="auto"/>
      </w:divBdr>
    </w:div>
    <w:div w:id="194513663">
      <w:bodyDiv w:val="1"/>
      <w:marLeft w:val="0"/>
      <w:marRight w:val="0"/>
      <w:marTop w:val="0"/>
      <w:marBottom w:val="0"/>
      <w:divBdr>
        <w:top w:val="none" w:sz="0" w:space="0" w:color="auto"/>
        <w:left w:val="none" w:sz="0" w:space="0" w:color="auto"/>
        <w:bottom w:val="none" w:sz="0" w:space="0" w:color="auto"/>
        <w:right w:val="none" w:sz="0" w:space="0" w:color="auto"/>
      </w:divBdr>
    </w:div>
    <w:div w:id="392699579">
      <w:bodyDiv w:val="1"/>
      <w:marLeft w:val="0"/>
      <w:marRight w:val="0"/>
      <w:marTop w:val="0"/>
      <w:marBottom w:val="0"/>
      <w:divBdr>
        <w:top w:val="none" w:sz="0" w:space="0" w:color="auto"/>
        <w:left w:val="none" w:sz="0" w:space="0" w:color="auto"/>
        <w:bottom w:val="none" w:sz="0" w:space="0" w:color="auto"/>
        <w:right w:val="none" w:sz="0" w:space="0" w:color="auto"/>
      </w:divBdr>
    </w:div>
    <w:div w:id="629550699">
      <w:bodyDiv w:val="1"/>
      <w:marLeft w:val="0"/>
      <w:marRight w:val="0"/>
      <w:marTop w:val="0"/>
      <w:marBottom w:val="0"/>
      <w:divBdr>
        <w:top w:val="none" w:sz="0" w:space="0" w:color="auto"/>
        <w:left w:val="none" w:sz="0" w:space="0" w:color="auto"/>
        <w:bottom w:val="none" w:sz="0" w:space="0" w:color="auto"/>
        <w:right w:val="none" w:sz="0" w:space="0" w:color="auto"/>
      </w:divBdr>
    </w:div>
    <w:div w:id="917439750">
      <w:bodyDiv w:val="1"/>
      <w:marLeft w:val="0"/>
      <w:marRight w:val="0"/>
      <w:marTop w:val="0"/>
      <w:marBottom w:val="0"/>
      <w:divBdr>
        <w:top w:val="none" w:sz="0" w:space="0" w:color="auto"/>
        <w:left w:val="none" w:sz="0" w:space="0" w:color="auto"/>
        <w:bottom w:val="none" w:sz="0" w:space="0" w:color="auto"/>
        <w:right w:val="none" w:sz="0" w:space="0" w:color="auto"/>
      </w:divBdr>
    </w:div>
    <w:div w:id="980618690">
      <w:bodyDiv w:val="1"/>
      <w:marLeft w:val="0"/>
      <w:marRight w:val="0"/>
      <w:marTop w:val="0"/>
      <w:marBottom w:val="0"/>
      <w:divBdr>
        <w:top w:val="none" w:sz="0" w:space="0" w:color="auto"/>
        <w:left w:val="none" w:sz="0" w:space="0" w:color="auto"/>
        <w:bottom w:val="none" w:sz="0" w:space="0" w:color="auto"/>
        <w:right w:val="none" w:sz="0" w:space="0" w:color="auto"/>
      </w:divBdr>
    </w:div>
    <w:div w:id="1190029645">
      <w:bodyDiv w:val="1"/>
      <w:marLeft w:val="0"/>
      <w:marRight w:val="0"/>
      <w:marTop w:val="0"/>
      <w:marBottom w:val="0"/>
      <w:divBdr>
        <w:top w:val="none" w:sz="0" w:space="0" w:color="auto"/>
        <w:left w:val="none" w:sz="0" w:space="0" w:color="auto"/>
        <w:bottom w:val="none" w:sz="0" w:space="0" w:color="auto"/>
        <w:right w:val="none" w:sz="0" w:space="0" w:color="auto"/>
      </w:divBdr>
    </w:div>
    <w:div w:id="1224606811">
      <w:bodyDiv w:val="1"/>
      <w:marLeft w:val="0"/>
      <w:marRight w:val="0"/>
      <w:marTop w:val="0"/>
      <w:marBottom w:val="0"/>
      <w:divBdr>
        <w:top w:val="none" w:sz="0" w:space="0" w:color="auto"/>
        <w:left w:val="none" w:sz="0" w:space="0" w:color="auto"/>
        <w:bottom w:val="none" w:sz="0" w:space="0" w:color="auto"/>
        <w:right w:val="none" w:sz="0" w:space="0" w:color="auto"/>
      </w:divBdr>
    </w:div>
    <w:div w:id="1466847079">
      <w:bodyDiv w:val="1"/>
      <w:marLeft w:val="0"/>
      <w:marRight w:val="0"/>
      <w:marTop w:val="0"/>
      <w:marBottom w:val="0"/>
      <w:divBdr>
        <w:top w:val="none" w:sz="0" w:space="0" w:color="auto"/>
        <w:left w:val="none" w:sz="0" w:space="0" w:color="auto"/>
        <w:bottom w:val="none" w:sz="0" w:space="0" w:color="auto"/>
        <w:right w:val="none" w:sz="0" w:space="0" w:color="auto"/>
      </w:divBdr>
    </w:div>
    <w:div w:id="1753505972">
      <w:bodyDiv w:val="1"/>
      <w:marLeft w:val="0"/>
      <w:marRight w:val="0"/>
      <w:marTop w:val="0"/>
      <w:marBottom w:val="0"/>
      <w:divBdr>
        <w:top w:val="none" w:sz="0" w:space="0" w:color="auto"/>
        <w:left w:val="none" w:sz="0" w:space="0" w:color="auto"/>
        <w:bottom w:val="none" w:sz="0" w:space="0" w:color="auto"/>
        <w:right w:val="none" w:sz="0" w:space="0" w:color="auto"/>
      </w:divBdr>
    </w:div>
    <w:div w:id="1932277228">
      <w:bodyDiv w:val="1"/>
      <w:marLeft w:val="0"/>
      <w:marRight w:val="0"/>
      <w:marTop w:val="0"/>
      <w:marBottom w:val="0"/>
      <w:divBdr>
        <w:top w:val="none" w:sz="0" w:space="0" w:color="auto"/>
        <w:left w:val="none" w:sz="0" w:space="0" w:color="auto"/>
        <w:bottom w:val="none" w:sz="0" w:space="0" w:color="auto"/>
        <w:right w:val="none" w:sz="0" w:space="0" w:color="auto"/>
      </w:divBdr>
    </w:div>
    <w:div w:id="196680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winplace.eu/MyTwinPlace/Members/InterestDetails.aspx?3926" TargetMode="External"/><Relationship Id="rId18" Type="http://schemas.openxmlformats.org/officeDocument/2006/relationships/hyperlink" Target="http://www.twinplace.eu/MyTwinPlace/Members/InterestDetails.aspx?392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data.worldbank.org/indicator/SP.POP.TOTL" TargetMode="External"/><Relationship Id="rId17" Type="http://schemas.openxmlformats.org/officeDocument/2006/relationships/hyperlink" Target="http://www.twinplace.eu/MyTwinPlace/Members/InterestDetails.aspx?3926" TargetMode="External"/><Relationship Id="rId2" Type="http://schemas.openxmlformats.org/officeDocument/2006/relationships/customXml" Target="../customXml/item2.xml"/><Relationship Id="rId16" Type="http://schemas.openxmlformats.org/officeDocument/2006/relationships/hyperlink" Target="http://www.twinplace.eu/MyTwinPlace/Members/InterestDetails.aspx?392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data.worldbank.org/indicator/SP.POP.TOTL" TargetMode="External"/><Relationship Id="rId10" Type="http://schemas.openxmlformats.org/officeDocument/2006/relationships/endnotes" Target="endnotes.xml"/><Relationship Id="rId19" Type="http://schemas.openxmlformats.org/officeDocument/2006/relationships/hyperlink" Target="http://www.twinplace.eu/MyTwinPlace/Members/InterestDetails.aspx?392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rs.pops.int/ERS-Extended/FeedbackServer/fsadmin.aspx?fscontrol=respondentReport&amp;surveyid=73&amp;voterid=49299&amp;readonly=1&amp;nomenu=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fileadmin/DAM/env/documents/2002/eb/air/EB%20Decisions/Decision_2018_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8A14644E82B84E961AE4815488DB75" ma:contentTypeVersion="3" ma:contentTypeDescription="Create a new document." ma:contentTypeScope="" ma:versionID="9bc3880500417d57ccd0e7aa1058aceb">
  <xsd:schema xmlns:xsd="http://www.w3.org/2001/XMLSchema" xmlns:xs="http://www.w3.org/2001/XMLSchema" xmlns:p="http://schemas.microsoft.com/office/2006/metadata/properties" xmlns:ns2="d7d67651-dabb-4942-a920-bbd8d1865ca3" xmlns:ns3="0ca66001-fc9a-4c3c-9061-a293c2d89eaa" targetNamespace="http://schemas.microsoft.com/office/2006/metadata/properties" ma:root="true" ma:fieldsID="032e0a23ccac36cf41c55f38d408623f" ns2:_="" ns3:_="">
    <xsd:import namespace="d7d67651-dabb-4942-a920-bbd8d1865ca3"/>
    <xsd:import namespace="0ca66001-fc9a-4c3c-9061-a293c2d89eaa"/>
    <xsd:element name="properties">
      <xsd:complexType>
        <xsd:sequence>
          <xsd:element name="documentManagement">
            <xsd:complexType>
              <xsd:all>
                <xsd:element ref="ns2:SharedWithUsers" minOccurs="0"/>
                <xsd:element ref="ns3:hp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d67651-dabb-4942-a920-bbd8d1865ca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a66001-fc9a-4c3c-9061-a293c2d89eaa" elementFormDefault="qualified">
    <xsd:import namespace="http://schemas.microsoft.com/office/2006/documentManagement/types"/>
    <xsd:import namespace="http://schemas.microsoft.com/office/infopath/2007/PartnerControls"/>
    <xsd:element name="hpsTasks" ma:index="9" nillable="true" ma:displayName="Arbeitspakete" ma:list="{94818b2c-c1d6-420e-9716-17fc3a74c162}" ma:internalName="hpsTasks"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psTasks xmlns="0ca66001-fc9a-4c3c-9061-a293c2d89ea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5FF4D-14FF-4CBB-87FF-8092B5035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d67651-dabb-4942-a920-bbd8d1865ca3"/>
    <ds:schemaRef ds:uri="0ca66001-fc9a-4c3c-9061-a293c2d89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8FF6D-52A3-47AB-A463-5A8957DDE98F}">
  <ds:schemaRefs>
    <ds:schemaRef ds:uri="http://schemas.microsoft.com/office/2006/metadata/properties"/>
    <ds:schemaRef ds:uri="d7d67651-dabb-4942-a920-bbd8d1865ca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0ca66001-fc9a-4c3c-9061-a293c2d89eaa"/>
    <ds:schemaRef ds:uri="http://www.w3.org/XML/1998/namespace"/>
    <ds:schemaRef ds:uri="http://purl.org/dc/dcmitype/"/>
  </ds:schemaRefs>
</ds:datastoreItem>
</file>

<file path=customXml/itemProps3.xml><?xml version="1.0" encoding="utf-8"?>
<ds:datastoreItem xmlns:ds="http://schemas.openxmlformats.org/officeDocument/2006/customXml" ds:itemID="{D682ED3A-D24A-42D0-90C9-9CBE3127C96F}">
  <ds:schemaRefs>
    <ds:schemaRef ds:uri="http://schemas.microsoft.com/sharepoint/v3/contenttype/forms"/>
  </ds:schemaRefs>
</ds:datastoreItem>
</file>

<file path=customXml/itemProps4.xml><?xml version="1.0" encoding="utf-8"?>
<ds:datastoreItem xmlns:ds="http://schemas.openxmlformats.org/officeDocument/2006/customXml" ds:itemID="{ADE2F0E0-28E7-44DD-81C8-763CA363A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15960</Words>
  <Characters>89305</Characters>
  <Application>Microsoft Office Word</Application>
  <DocSecurity>0</DocSecurity>
  <Lines>744</Lines>
  <Paragraphs>210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CLRTAP Review Report</vt:lpstr>
      <vt:lpstr>CLRTAP Review Report</vt:lpstr>
    </vt:vector>
  </TitlesOfParts>
  <Company>UNECE</Company>
  <LinksUpToDate>false</LinksUpToDate>
  <CharactersWithSpaces>105055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CLRTAP Review Report</dc:title>
  <dc:subject>UNECE/CLRTAP Stage 3 Review</dc:subject>
  <dc:creator>Expert Review Team</dc:creator>
  <cp:lastModifiedBy>Mareckova Katarina</cp:lastModifiedBy>
  <cp:revision>3</cp:revision>
  <cp:lastPrinted>2021-09-16T17:40:00Z</cp:lastPrinted>
  <dcterms:created xsi:type="dcterms:W3CDTF">2021-09-16T17:40:00Z</dcterms:created>
  <dcterms:modified xsi:type="dcterms:W3CDTF">2021-09-16T17:41:00Z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0x0101006D8A14644E82B84E961AE4815488DB75</vt:lpwstr>
  </property>
</Properties>
</file>